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C3AC1" w14:textId="05CB5CCE" w:rsidR="00486498" w:rsidRPr="00C847C8" w:rsidRDefault="002C1BA9" w:rsidP="00AB3472">
      <w:pPr>
        <w:pStyle w:val="Titre2"/>
        <w:ind w:firstLine="0"/>
        <w:rPr>
          <w:smallCaps/>
        </w:rPr>
      </w:pPr>
      <w:r w:rsidRPr="00C847C8">
        <w:t>Electronic Supplementary</w:t>
      </w:r>
      <w:r w:rsidR="009F6736" w:rsidRPr="00C847C8">
        <w:t xml:space="preserve"> Information</w:t>
      </w:r>
    </w:p>
    <w:p w14:paraId="4A56E4C4" w14:textId="77777777" w:rsidR="00486498" w:rsidRPr="00C847C8" w:rsidRDefault="00486498" w:rsidP="00D21508"/>
    <w:p w14:paraId="02930734" w14:textId="77777777" w:rsidR="00486498" w:rsidRPr="00C847C8" w:rsidRDefault="00486498" w:rsidP="00D21508"/>
    <w:p w14:paraId="7061B5D8" w14:textId="05A3F741" w:rsidR="00C709EA" w:rsidRPr="00C847C8" w:rsidRDefault="005E2237" w:rsidP="00577F20">
      <w:pPr>
        <w:ind w:firstLine="0"/>
        <w:jc w:val="center"/>
        <w:rPr>
          <w:rFonts w:eastAsiaTheme="majorEastAsia"/>
          <w:spacing w:val="-10"/>
          <w:kern w:val="28"/>
          <w:sz w:val="56"/>
          <w:szCs w:val="56"/>
        </w:rPr>
      </w:pPr>
      <w:r w:rsidRPr="00C847C8">
        <w:rPr>
          <w:rFonts w:eastAsiaTheme="majorEastAsia"/>
          <w:spacing w:val="-10"/>
          <w:kern w:val="28"/>
          <w:sz w:val="56"/>
          <w:szCs w:val="56"/>
        </w:rPr>
        <w:t xml:space="preserve">A ratiometric nanoarchitecture for the </w:t>
      </w:r>
      <w:r w:rsidR="000D4D46" w:rsidRPr="00C847C8">
        <w:rPr>
          <w:rFonts w:eastAsiaTheme="majorEastAsia"/>
          <w:spacing w:val="-10"/>
          <w:kern w:val="28"/>
          <w:sz w:val="56"/>
          <w:szCs w:val="56"/>
        </w:rPr>
        <w:t xml:space="preserve">simultaneous </w:t>
      </w:r>
      <w:r w:rsidRPr="00C847C8">
        <w:rPr>
          <w:rFonts w:eastAsiaTheme="majorEastAsia"/>
          <w:spacing w:val="-10"/>
          <w:kern w:val="28"/>
          <w:sz w:val="56"/>
          <w:szCs w:val="56"/>
        </w:rPr>
        <w:t>detection of pH and halide ions using UV plasmon-enhanced fluorescence</w:t>
      </w:r>
    </w:p>
    <w:p w14:paraId="14313CD1" w14:textId="77777777" w:rsidR="005E2237" w:rsidRPr="00C847C8" w:rsidRDefault="005E2237" w:rsidP="00577F20">
      <w:pPr>
        <w:ind w:firstLine="0"/>
        <w:jc w:val="center"/>
        <w:rPr>
          <w:rFonts w:eastAsiaTheme="majorEastAsia"/>
          <w:spacing w:val="-10"/>
          <w:kern w:val="28"/>
          <w:sz w:val="56"/>
          <w:szCs w:val="56"/>
        </w:rPr>
      </w:pPr>
    </w:p>
    <w:p w14:paraId="080DBC02" w14:textId="63B12FD1" w:rsidR="00486498" w:rsidRPr="00C847C8" w:rsidRDefault="00486498" w:rsidP="009633CD">
      <w:pPr>
        <w:jc w:val="center"/>
        <w:rPr>
          <w:lang w:val="fr-CA"/>
        </w:rPr>
      </w:pPr>
      <w:r w:rsidRPr="00C847C8">
        <w:rPr>
          <w:lang w:val="fr-CA"/>
        </w:rPr>
        <w:t xml:space="preserve">Jérémie Asselin, </w:t>
      </w:r>
      <w:r w:rsidR="00D81A35" w:rsidRPr="00C847C8">
        <w:rPr>
          <w:lang w:val="fr-CA"/>
        </w:rPr>
        <w:t>Marie-Pier Lambert, Nicolas Fontaine</w:t>
      </w:r>
      <w:r w:rsidRPr="00C847C8">
        <w:rPr>
          <w:lang w:val="fr-CA"/>
        </w:rPr>
        <w:t>, Denis Boudreau</w:t>
      </w:r>
      <w:r w:rsidR="005C1220" w:rsidRPr="00C847C8">
        <w:rPr>
          <w:lang w:val="fr-CA"/>
        </w:rPr>
        <w:t>*</w:t>
      </w:r>
    </w:p>
    <w:p w14:paraId="11F23B32" w14:textId="77777777" w:rsidR="00486498" w:rsidRPr="00C847C8" w:rsidRDefault="00486498" w:rsidP="00D21508">
      <w:pPr>
        <w:rPr>
          <w:lang w:val="fr-CA"/>
        </w:rPr>
      </w:pPr>
    </w:p>
    <w:p w14:paraId="14D5B5EC" w14:textId="77777777" w:rsidR="005C1220" w:rsidRPr="00C847C8" w:rsidRDefault="005C1220" w:rsidP="005C1220">
      <w:pPr>
        <w:spacing w:line="360" w:lineRule="auto"/>
        <w:ind w:firstLine="0"/>
        <w:jc w:val="center"/>
        <w:rPr>
          <w:lang w:val="fr-CA"/>
        </w:rPr>
      </w:pPr>
      <w:r w:rsidRPr="00C847C8">
        <w:rPr>
          <w:lang w:val="fr-CA"/>
        </w:rPr>
        <w:t>Département de chimie et Centre d’optique photonique et laser (COPL), Université Laval, Québec (QC), Canada G1V 0A6</w:t>
      </w:r>
    </w:p>
    <w:p w14:paraId="4DA23A96" w14:textId="77777777" w:rsidR="001E368E" w:rsidRPr="00C847C8" w:rsidRDefault="001E368E" w:rsidP="000338D1">
      <w:pPr>
        <w:ind w:firstLine="0"/>
        <w:rPr>
          <w:lang w:val="fr-CA"/>
        </w:rPr>
      </w:pPr>
    </w:p>
    <w:p w14:paraId="63AE7863" w14:textId="77777777" w:rsidR="001E368E" w:rsidRPr="00C847C8" w:rsidRDefault="005C1220" w:rsidP="00D85BDA">
      <w:pPr>
        <w:pStyle w:val="FACorrespondingAuthorFootnote"/>
        <w:ind w:firstLine="0"/>
        <w:rPr>
          <w:lang w:val="en-CA"/>
        </w:rPr>
      </w:pPr>
      <w:r w:rsidRPr="00C847C8">
        <w:rPr>
          <w:lang w:val="en-CA"/>
        </w:rPr>
        <w:t xml:space="preserve">* </w:t>
      </w:r>
      <w:r w:rsidR="00973B20" w:rsidRPr="00C847C8">
        <w:rPr>
          <w:lang w:val="en-CA"/>
        </w:rPr>
        <w:t xml:space="preserve">Corresp. author: </w:t>
      </w:r>
      <w:hyperlink r:id="rId8" w:history="1">
        <w:r w:rsidR="00973B20" w:rsidRPr="00C847C8">
          <w:rPr>
            <w:rStyle w:val="Lienhypertexte"/>
            <w:lang w:val="en-CA"/>
          </w:rPr>
          <w:t>denis.boudreau@chm.ulaval.ca</w:t>
        </w:r>
      </w:hyperlink>
      <w:r w:rsidR="00973B20" w:rsidRPr="00C847C8">
        <w:rPr>
          <w:lang w:val="en-CA"/>
        </w:rPr>
        <w:t>. 418-656-3287 (ph.), 418-656-7916 (fax).</w:t>
      </w:r>
    </w:p>
    <w:p w14:paraId="374D5D62" w14:textId="77777777" w:rsidR="001E368E" w:rsidRPr="00C847C8" w:rsidRDefault="001E368E" w:rsidP="00D21508"/>
    <w:p w14:paraId="0B6E351F" w14:textId="04394C90" w:rsidR="003245C6" w:rsidRPr="00C847C8" w:rsidRDefault="001E368E" w:rsidP="004521E4">
      <w:pPr>
        <w:pStyle w:val="Paragraphedeliste"/>
        <w:numPr>
          <w:ilvl w:val="0"/>
          <w:numId w:val="7"/>
        </w:numPr>
        <w:spacing w:after="0"/>
        <w:jc w:val="left"/>
        <w:rPr>
          <w:b/>
        </w:rPr>
      </w:pPr>
      <w:r w:rsidRPr="00C847C8">
        <w:br w:type="column"/>
      </w:r>
      <w:r w:rsidR="004521E4" w:rsidRPr="00C847C8">
        <w:rPr>
          <w:b/>
        </w:rPr>
        <w:lastRenderedPageBreak/>
        <w:t>MATERIAL AND METHODS</w:t>
      </w:r>
    </w:p>
    <w:p w14:paraId="153506B9" w14:textId="6014525A" w:rsidR="004521E4" w:rsidRPr="00C847C8" w:rsidRDefault="004521E4" w:rsidP="004521E4">
      <w:pPr>
        <w:ind w:firstLine="284"/>
      </w:pPr>
      <w:r w:rsidRPr="00C847C8">
        <w:rPr>
          <w:b/>
          <w:i/>
        </w:rPr>
        <w:t xml:space="preserve">Chemicals and Reagents. </w:t>
      </w:r>
      <w:r w:rsidRPr="00C847C8">
        <w:rPr>
          <w:lang w:val="en-US"/>
        </w:rPr>
        <w:t xml:space="preserve">Sodium citrate dibasic sesquihydrate (99%, ACS grade), </w:t>
      </w:r>
      <w:r w:rsidRPr="00C847C8">
        <w:t xml:space="preserve">diethylene glycol (99%), </w:t>
      </w:r>
      <w:r w:rsidRPr="00C847C8">
        <w:rPr>
          <w:lang w:val="en-US"/>
        </w:rPr>
        <w:t>triethylamine (≥99.5%), (3-aminopropyl) triethoxysilane (APTES; ≥98%), ammonium hydroxide solution (28-30% wt NH</w:t>
      </w:r>
      <w:r w:rsidRPr="00C847C8">
        <w:rPr>
          <w:vertAlign w:val="subscript"/>
          <w:lang w:val="en-US"/>
        </w:rPr>
        <w:t>3</w:t>
      </w:r>
      <w:r w:rsidRPr="00C847C8">
        <w:rPr>
          <w:lang w:val="en-US"/>
        </w:rPr>
        <w:t>), dimethylamine (DMA; 40% wt solution in water), sodium borohydride</w:t>
      </w:r>
      <w:r w:rsidRPr="00C847C8">
        <w:rPr>
          <w:vertAlign w:val="subscript"/>
          <w:lang w:val="en-US"/>
        </w:rPr>
        <w:t xml:space="preserve"> </w:t>
      </w:r>
      <w:r w:rsidRPr="00C847C8">
        <w:rPr>
          <w:lang w:val="en-US"/>
        </w:rPr>
        <w:t xml:space="preserve">(99.99%), Rhodamine B isothiocyanate (RBiTC, mixed isomers), Rhodamine B (~95%), fluorescein 5(6)-isothiocyanate (FiTC; 90%) and 6-methoxyquinoline (98%) were purchased from Sigma-Aldrich. </w:t>
      </w:r>
      <w:r w:rsidRPr="00C847C8">
        <w:t xml:space="preserve">Tetraethoxysilane (TEOS; 99.9%) and potassium bromide (ACS grade, &gt;99%) were obtained from Alfa Aesar. Indium (III) chloride tetrahydrate (99.9%) was obtained from Strem Chemicals, potassium chloride (ACS grade, 99.0%) from BDH Inc., anhydrous </w:t>
      </w:r>
      <w:r w:rsidRPr="00C847C8">
        <w:rPr>
          <w:i/>
        </w:rPr>
        <w:t>N</w:t>
      </w:r>
      <w:r w:rsidRPr="00C847C8">
        <w:t>,</w:t>
      </w:r>
      <w:r w:rsidRPr="00C847C8">
        <w:rPr>
          <w:i/>
        </w:rPr>
        <w:t>N</w:t>
      </w:r>
      <w:r w:rsidRPr="00C847C8">
        <w:t>-dimethylformamide (DMF; 99.8%) from EMD Chemicals, 6-methoxy-</w:t>
      </w:r>
      <w:r w:rsidRPr="00C847C8">
        <w:rPr>
          <w:i/>
        </w:rPr>
        <w:t>N</w:t>
      </w:r>
      <w:r w:rsidRPr="00C847C8">
        <w:t>-ethylquinolium iodide from Molecular Probes and 11-bromoundecyltriethoxysilane (≥95%) from SiKÉMIA. Potassium iodide (ACS grade), potassium phosphate monobasic (&gt;99%) and dibasic (&gt;98%) were purchased from Anachemia. Unless otherwise stated, nanopure water (18 MΩ) and anhydrous ethanol (Commercial Alcohols, Brampton, ON, Canada) were used in all experiments, and chemical reagents were used without further purification. All glassware was conditioned with hydrofluoric acid, before further cleaning with nitric acid and rinsed thoroughly with nanopure water.</w:t>
      </w:r>
    </w:p>
    <w:p w14:paraId="284DFB01" w14:textId="3FBF89DC" w:rsidR="003245C6" w:rsidRPr="00C847C8" w:rsidRDefault="003245C6" w:rsidP="003A7C06">
      <w:pPr>
        <w:pStyle w:val="Titre2"/>
        <w:ind w:firstLine="426"/>
        <w:jc w:val="both"/>
        <w:rPr>
          <w:b w:val="0"/>
          <w:sz w:val="24"/>
          <w:u w:val="none"/>
        </w:rPr>
      </w:pPr>
      <w:r w:rsidRPr="00C847C8">
        <w:rPr>
          <w:i/>
          <w:sz w:val="24"/>
          <w:u w:val="none"/>
          <w:lang w:val="en-US"/>
        </w:rPr>
        <w:t>Synthesis of In plasmonic cores.</w:t>
      </w:r>
      <w:r w:rsidR="00A6231B" w:rsidRPr="00C847C8">
        <w:rPr>
          <w:i/>
          <w:sz w:val="24"/>
          <w:u w:val="none"/>
          <w:lang w:val="en-US"/>
        </w:rPr>
        <w:fldChar w:fldCharType="begin" w:fldLock="1"/>
      </w:r>
      <w:r w:rsidR="00F467C0" w:rsidRPr="00C847C8">
        <w:rPr>
          <w:i/>
          <w:sz w:val="24"/>
          <w:u w:val="none"/>
          <w:lang w:val="en-US"/>
        </w:rPr>
        <w:instrText>ADDIN CSL_CITATION { "citationItems" : [ { "id" : "ITEM-1", "itemData" : { "DOI" : "10.1039/c3cc45276j", "ISSN" : "1364-548X", "PMID" : "23999800", "abstract" : "Large fluorescence enhancement of UV-active molecular models Carbostyril 124 and tryptophan by core-shell indium-based plasmonic architectures demonstrates the metal's potential in the design of bioprobes. Precise control over the metal-fluorophore distance is achieved through the controlled deposition of a uniform silica layer over the nanosized indium particles.", "author" : [ { "dropping-particle" : "", "family" : "Magnan", "given" : "Fran\u00e7ois", "non-dropping-particle" : "", "parse-names" : false, "suffix" : "" }, { "dropping-particle" : "", "family" : "Gagnon", "given" : "Joanie", "non-dropping-particle" : "", "parse-names" : false, "suffix" : "" }, { "dropping-particle" : "", "family" : "Fontaine", "given" : "Fr\u00e9d\u00e9ric-Georges", "non-dropping-particle" : "", "parse-names" : false, "suffix" : "" }, { "dropping-particle" : "", "family" : "Boudreau", "given" : "Denis", "non-dropping-particle" : "", "parse-names" : false, "suffix" : "" } ], "container-title" : "Chemical Communications", "id" : "ITEM-1", "issue" : "81", "issued" : { "date-parts" : [ [ "2013" ] ] }, "page" : "9299-301", "title" : "Indium@silica core-shell nanoparticles as plasmonic enhancers of molecular luminescence in the UV region.", "type" : "article-journal", "volume" : "49" }, "uris" : [ "http://www.mendeley.com/documents/?uuid=dba16e4f-8abb-4cde-849a-c9ab2f4ee11b" ] } ], "mendeley" : { "formattedCitation" : "&lt;sup&gt;1&lt;/sup&gt;", "plainTextFormattedCitation" : "1", "previouslyFormattedCitation" : "&lt;sup&gt;1&lt;/sup&gt;" }, "properties" : { "noteIndex" : 0 }, "schema" : "https://github.com/citation-style-language/schema/raw/master/csl-citation.json" }</w:instrText>
      </w:r>
      <w:r w:rsidR="00A6231B" w:rsidRPr="00C847C8">
        <w:rPr>
          <w:i/>
          <w:sz w:val="24"/>
          <w:u w:val="none"/>
          <w:lang w:val="en-US"/>
        </w:rPr>
        <w:fldChar w:fldCharType="separate"/>
      </w:r>
      <w:r w:rsidR="009F6736" w:rsidRPr="00C847C8">
        <w:rPr>
          <w:b w:val="0"/>
          <w:noProof/>
          <w:sz w:val="24"/>
          <w:u w:val="none"/>
          <w:vertAlign w:val="superscript"/>
          <w:lang w:val="en-US"/>
        </w:rPr>
        <w:t>1</w:t>
      </w:r>
      <w:r w:rsidR="00A6231B" w:rsidRPr="00C847C8">
        <w:rPr>
          <w:i/>
          <w:sz w:val="24"/>
          <w:u w:val="none"/>
          <w:lang w:val="en-US"/>
        </w:rPr>
        <w:fldChar w:fldCharType="end"/>
      </w:r>
      <w:r w:rsidRPr="00C847C8">
        <w:rPr>
          <w:i/>
          <w:sz w:val="24"/>
          <w:u w:val="none"/>
          <w:lang w:val="en-US"/>
        </w:rPr>
        <w:t xml:space="preserve"> </w:t>
      </w:r>
      <w:r w:rsidR="00B64A95" w:rsidRPr="00C847C8">
        <w:rPr>
          <w:b w:val="0"/>
          <w:sz w:val="24"/>
          <w:u w:val="none"/>
        </w:rPr>
        <w:t>367 mg</w:t>
      </w:r>
      <w:r w:rsidRPr="00C847C8">
        <w:rPr>
          <w:b w:val="0"/>
          <w:sz w:val="24"/>
          <w:u w:val="none"/>
        </w:rPr>
        <w:t xml:space="preserve"> of </w:t>
      </w:r>
      <w:r w:rsidR="008F77C5" w:rsidRPr="00C847C8">
        <w:rPr>
          <w:b w:val="0"/>
          <w:sz w:val="24"/>
          <w:u w:val="none"/>
        </w:rPr>
        <w:t>indium chloride (</w:t>
      </w:r>
      <w:r w:rsidRPr="00C847C8">
        <w:rPr>
          <w:b w:val="0"/>
          <w:sz w:val="24"/>
          <w:u w:val="none"/>
        </w:rPr>
        <w:t>InCl</w:t>
      </w:r>
      <w:r w:rsidRPr="00C847C8">
        <w:rPr>
          <w:b w:val="0"/>
          <w:sz w:val="24"/>
          <w:u w:val="none"/>
          <w:vertAlign w:val="subscript"/>
        </w:rPr>
        <w:t>3</w:t>
      </w:r>
      <w:r w:rsidRPr="00C847C8">
        <w:rPr>
          <w:b w:val="0"/>
          <w:sz w:val="24"/>
          <w:u w:val="none"/>
        </w:rPr>
        <w:t>·4 H</w:t>
      </w:r>
      <w:r w:rsidRPr="00C847C8">
        <w:rPr>
          <w:b w:val="0"/>
          <w:sz w:val="24"/>
          <w:u w:val="none"/>
          <w:vertAlign w:val="subscript"/>
        </w:rPr>
        <w:t>2</w:t>
      </w:r>
      <w:r w:rsidRPr="00C847C8">
        <w:rPr>
          <w:b w:val="0"/>
          <w:sz w:val="24"/>
          <w:u w:val="none"/>
        </w:rPr>
        <w:t>O</w:t>
      </w:r>
      <w:r w:rsidR="008F77C5" w:rsidRPr="00C847C8">
        <w:rPr>
          <w:b w:val="0"/>
          <w:sz w:val="24"/>
          <w:u w:val="none"/>
        </w:rPr>
        <w:t>)</w:t>
      </w:r>
      <w:r w:rsidR="00B64A95" w:rsidRPr="00C847C8">
        <w:rPr>
          <w:b w:val="0"/>
          <w:sz w:val="24"/>
          <w:u w:val="none"/>
        </w:rPr>
        <w:t xml:space="preserve"> and 245 mg</w:t>
      </w:r>
      <w:r w:rsidRPr="00C847C8">
        <w:rPr>
          <w:b w:val="0"/>
          <w:sz w:val="24"/>
          <w:u w:val="none"/>
        </w:rPr>
        <w:t xml:space="preserve"> of </w:t>
      </w:r>
      <w:r w:rsidR="008F77C5" w:rsidRPr="00C847C8">
        <w:rPr>
          <w:b w:val="0"/>
          <w:sz w:val="24"/>
          <w:u w:val="none"/>
        </w:rPr>
        <w:t>sodium citrate (</w:t>
      </w:r>
      <w:r w:rsidRPr="00C847C8">
        <w:rPr>
          <w:b w:val="0"/>
          <w:sz w:val="24"/>
          <w:u w:val="none"/>
        </w:rPr>
        <w:t>Na</w:t>
      </w:r>
      <w:r w:rsidRPr="00C847C8">
        <w:rPr>
          <w:b w:val="0"/>
          <w:sz w:val="24"/>
          <w:u w:val="none"/>
          <w:vertAlign w:val="subscript"/>
        </w:rPr>
        <w:t>2</w:t>
      </w:r>
      <w:r w:rsidRPr="00C847C8">
        <w:rPr>
          <w:b w:val="0"/>
          <w:sz w:val="24"/>
          <w:u w:val="none"/>
        </w:rPr>
        <w:t>Cit·1.5 H</w:t>
      </w:r>
      <w:r w:rsidRPr="00C847C8">
        <w:rPr>
          <w:b w:val="0"/>
          <w:sz w:val="24"/>
          <w:u w:val="none"/>
          <w:vertAlign w:val="subscript"/>
        </w:rPr>
        <w:t>2</w:t>
      </w:r>
      <w:r w:rsidRPr="00C847C8">
        <w:rPr>
          <w:b w:val="0"/>
          <w:sz w:val="24"/>
          <w:u w:val="none"/>
        </w:rPr>
        <w:t>O</w:t>
      </w:r>
      <w:r w:rsidR="008F77C5" w:rsidRPr="00C847C8">
        <w:rPr>
          <w:b w:val="0"/>
          <w:sz w:val="24"/>
          <w:u w:val="none"/>
        </w:rPr>
        <w:t>)</w:t>
      </w:r>
      <w:r w:rsidRPr="00C847C8">
        <w:rPr>
          <w:b w:val="0"/>
          <w:sz w:val="24"/>
          <w:u w:val="none"/>
        </w:rPr>
        <w:t xml:space="preserve"> </w:t>
      </w:r>
      <w:r w:rsidR="00D55685" w:rsidRPr="00C847C8">
        <w:rPr>
          <w:b w:val="0"/>
          <w:sz w:val="24"/>
          <w:u w:val="none"/>
        </w:rPr>
        <w:t>were</w:t>
      </w:r>
      <w:r w:rsidRPr="00C847C8">
        <w:rPr>
          <w:b w:val="0"/>
          <w:sz w:val="24"/>
          <w:u w:val="none"/>
        </w:rPr>
        <w:t xml:space="preserve"> </w:t>
      </w:r>
      <w:r w:rsidR="0060367E" w:rsidRPr="00C847C8">
        <w:rPr>
          <w:b w:val="0"/>
          <w:sz w:val="24"/>
          <w:u w:val="none"/>
        </w:rPr>
        <w:t>added to</w:t>
      </w:r>
      <w:r w:rsidRPr="00C847C8">
        <w:rPr>
          <w:b w:val="0"/>
          <w:sz w:val="24"/>
          <w:u w:val="none"/>
        </w:rPr>
        <w:t xml:space="preserve"> 50 mL of </w:t>
      </w:r>
      <w:r w:rsidR="008F77C5" w:rsidRPr="00C847C8">
        <w:rPr>
          <w:b w:val="0"/>
          <w:sz w:val="24"/>
          <w:u w:val="none"/>
        </w:rPr>
        <w:t>diethylene glycol</w:t>
      </w:r>
      <w:r w:rsidRPr="00C847C8">
        <w:rPr>
          <w:b w:val="0"/>
          <w:sz w:val="24"/>
          <w:u w:val="none"/>
        </w:rPr>
        <w:t xml:space="preserve"> in a three-necked round-bottomed flask and heated to 100 °C under </w:t>
      </w:r>
      <w:r w:rsidR="001D1B4D" w:rsidRPr="00C847C8">
        <w:rPr>
          <w:b w:val="0"/>
          <w:sz w:val="24"/>
          <w:u w:val="none"/>
        </w:rPr>
        <w:t xml:space="preserve">nitrogen atmosphere and </w:t>
      </w:r>
      <w:r w:rsidRPr="00C847C8">
        <w:rPr>
          <w:b w:val="0"/>
          <w:sz w:val="24"/>
          <w:u w:val="none"/>
        </w:rPr>
        <w:t>vigorou</w:t>
      </w:r>
      <w:r w:rsidR="009D7C63" w:rsidRPr="00C847C8">
        <w:rPr>
          <w:b w:val="0"/>
          <w:sz w:val="24"/>
          <w:u w:val="none"/>
        </w:rPr>
        <w:t>s stirring for 35 minutes. I</w:t>
      </w:r>
      <w:r w:rsidRPr="00C847C8">
        <w:rPr>
          <w:b w:val="0"/>
          <w:sz w:val="24"/>
          <w:u w:val="none"/>
        </w:rPr>
        <w:t xml:space="preserve">njection of 2 mL of a 2.45 M solution of </w:t>
      </w:r>
      <w:r w:rsidR="008F77C5" w:rsidRPr="00C847C8">
        <w:rPr>
          <w:b w:val="0"/>
          <w:sz w:val="24"/>
          <w:u w:val="none"/>
        </w:rPr>
        <w:t>sodium borohydride</w:t>
      </w:r>
      <w:r w:rsidRPr="00C847C8">
        <w:rPr>
          <w:b w:val="0"/>
          <w:sz w:val="24"/>
          <w:u w:val="none"/>
        </w:rPr>
        <w:t xml:space="preserve"> allowed the formation of highly spherical nanoparticles </w:t>
      </w:r>
      <w:r w:rsidR="00B862D0" w:rsidRPr="00C847C8">
        <w:rPr>
          <w:b w:val="0"/>
          <w:sz w:val="24"/>
          <w:u w:val="none"/>
        </w:rPr>
        <w:t>with an average diameter of (70±</w:t>
      </w:r>
      <w:r w:rsidRPr="00C847C8">
        <w:rPr>
          <w:b w:val="0"/>
          <w:sz w:val="24"/>
          <w:u w:val="none"/>
        </w:rPr>
        <w:t xml:space="preserve">20) nm. The colloidal </w:t>
      </w:r>
      <w:r w:rsidRPr="00C847C8">
        <w:rPr>
          <w:b w:val="0"/>
          <w:sz w:val="24"/>
          <w:u w:val="none"/>
        </w:rPr>
        <w:lastRenderedPageBreak/>
        <w:t>suspension was left to stir for 15 minutes and then cool</w:t>
      </w:r>
      <w:r w:rsidR="00A07366" w:rsidRPr="00C847C8">
        <w:rPr>
          <w:b w:val="0"/>
          <w:sz w:val="24"/>
          <w:u w:val="none"/>
        </w:rPr>
        <w:t>ed</w:t>
      </w:r>
      <w:r w:rsidRPr="00C847C8">
        <w:rPr>
          <w:b w:val="0"/>
          <w:sz w:val="24"/>
          <w:u w:val="none"/>
        </w:rPr>
        <w:t xml:space="preserve"> down to room temperature. The resulting nanoparticles were centrifuged at 12,000 RCF </w:t>
      </w:r>
      <w:r w:rsidR="00663022">
        <w:rPr>
          <w:b w:val="0"/>
          <w:sz w:val="24"/>
          <w:u w:val="none"/>
        </w:rPr>
        <w:t>(</w:t>
      </w:r>
      <w:r w:rsidRPr="00C847C8">
        <w:rPr>
          <w:b w:val="0"/>
          <w:sz w:val="24"/>
          <w:u w:val="none"/>
        </w:rPr>
        <w:t>15 minutes</w:t>
      </w:r>
      <w:r w:rsidR="00663022">
        <w:rPr>
          <w:b w:val="0"/>
          <w:sz w:val="24"/>
          <w:u w:val="none"/>
        </w:rPr>
        <w:t>)</w:t>
      </w:r>
      <w:r w:rsidRPr="00C847C8">
        <w:rPr>
          <w:b w:val="0"/>
          <w:sz w:val="24"/>
          <w:u w:val="none"/>
        </w:rPr>
        <w:t xml:space="preserve"> and dispersed in 15 mL of ethanol.</w:t>
      </w:r>
    </w:p>
    <w:p w14:paraId="7F5B1A11" w14:textId="3C220316" w:rsidR="00060D4D" w:rsidRPr="00C847C8" w:rsidRDefault="005A7803" w:rsidP="003A7C06">
      <w:pPr>
        <w:ind w:firstLine="284"/>
        <w:contextualSpacing w:val="0"/>
      </w:pPr>
      <w:r w:rsidRPr="00C847C8">
        <w:rPr>
          <w:b/>
          <w:i/>
        </w:rPr>
        <w:t xml:space="preserve">Preparation of fluorescent </w:t>
      </w:r>
      <w:r w:rsidR="00060D4D" w:rsidRPr="00C847C8">
        <w:rPr>
          <w:b/>
          <w:i/>
        </w:rPr>
        <w:t>isothiocyanates</w:t>
      </w:r>
      <w:r w:rsidRPr="00C847C8">
        <w:rPr>
          <w:b/>
          <w:i/>
        </w:rPr>
        <w:t>.</w:t>
      </w:r>
      <w:r w:rsidR="00A6231B" w:rsidRPr="00C847C8">
        <w:rPr>
          <w:b/>
          <w:i/>
        </w:rPr>
        <w:fldChar w:fldCharType="begin" w:fldLock="1"/>
      </w:r>
      <w:r w:rsidR="0008578E" w:rsidRPr="00C847C8">
        <w:rPr>
          <w:b/>
          <w:i/>
        </w:rPr>
        <w:instrText>ADDIN CSL_CITATION { "citationItems" : [ { "id" : "ITEM-1", "itemData" : { "DOI" : "10.1007/s11468-016-0186-5", "ISSN" : "15571963 15571955", "abstract" : "\u00a9 2016 Springer Science+Business Media New York Metal@silica concentric nanoparticles capable of metal-enhanced fluorescence (MEF) represent a powerful means to improve the brightness and stability of encapsulated organic fluorophores and are finding numerous applications in biology, analytical chemistry, and medical diagnostics. The rational design of MEF-enabled labels and sensors often involves comparing fluorescence enhancement factors (EF) between nanostructures having different structural properties (e.g., metal core diameter, silica shell thickness, extent of spectral overlap between plasmon band and fluorophore). Accurate determination of EFs requires the measurement of fluorescence emission intensity in the presence and absence of the plasmonic core while minimizing the impact of physical and chemical artifacts (e.g., signal variations due to scattering, adsorption, sedimentation). In this work, Ag@SiO2@SiO2 + x (where x is fluorescein, eosin, or rhodamine B) nanostructures were synthesized with excellent control of core size, silica spacer shell thickness and fluorophore concentration. Using UV-VIS spectrometry, spectrofluorimetry, time-resolved fluorometry, and transmission electron microscopy, we investigated the influence of these key structural factors on fluorescence emission intensity, and the results were used to develop a generalized methodology for the determination of fluorescence enhancement factors in Ag@SiO2 core-shell nanoparticles. This methodology should be of general importance to designing MEF-enabled nanostructures, sensors, and related analytical techniques.", "author" : [ { "dropping-particle" : "", "family" : "Asselin", "given" : "J.", "non-dropping-particle" : "", "parse-names" : false, "suffix" : "" }, { "dropping-particle" : "", "family" : "Legros", "given" : "P.", "non-dropping-particle" : "", "parse-names" : false, "suffix" : "" }, { "dropping-particle" : "", "family" : "Gr\u00e9goire", "given" : "A.", "non-dropping-particle" : "", "parse-names" : false, "suffix" : "" }, { "dropping-particle" : "", "family" : "Boudreau", "given" : "D.", "non-dropping-particle" : "", "parse-names" : false, "suffix" : "" } ], "container-title" : "Plasmonics", "id" : "ITEM-1", "issue" : "5", "issued" : { "date-parts" : [ [ "2016" ] ] }, "page" : "1369-1376", "title" : "Correlating Metal-Enhanced Fluorescence and Structural Properties in Ag@SiO2 Core-Shell Nanoparticles", "type" : "article-journal", "volume" : "11" }, "uris" : [ "http://www.mendeley.com/documents/?uuid=056d56e6-4e6a-35db-8f88-19a0e7ec7ced" ] }, { "id" : "ITEM-2", "itemData" : { "DOI" : "10.1007/s11468-007-9051-x", "ISSN" : "1557-1955", "author" : [ { "dropping-particle" : "", "family" : "Viger", "given" : "Mathieu L.", "non-dropping-particle" : "", "parse-names" : false, "suffix" : "" }, { "dropping-particle" : "", "family" : "Live", "given" : "Ludovic S.", "non-dropping-particle" : "", "parse-names" : false, "suffix" : "" }, { "dropping-particle" : "", "family" : "Therrien", "given" : "Olivier D.", "non-dropping-particle" : "", "parse-names" : false, "suffix" : "" }, { "dropping-particle" : "", "family" : "Boudreau", "given" : "Denis", "non-dropping-particle" : "", "parse-names" : false, "suffix" : "" } ], "container-title" : "Plasmonics", "id" : "ITEM-2", "issue" : "1", "issued" : { "date-parts" : [ [ "2008", "3", "12" ] ] }, "page" : "33-40", "title" : "Reduction of Self-Quenching in Fluorescent Silica-Coated Silver Nanoparticles", "type" : "article-journal", "volume" : "3" }, "uris" : [ "http://www.mendeley.com/documents/?uuid=9f9ef3c8-4de1-3fcd-ad1f-2d14f196d780" ] } ], "mendeley" : { "formattedCitation" : "&lt;sup&gt;2,3&lt;/sup&gt;", "plainTextFormattedCitation" : "2,3", "previouslyFormattedCitation" : "&lt;sup&gt;2,3&lt;/sup&gt;" }, "properties" : { "noteIndex" : 0 }, "schema" : "https://github.com/citation-style-language/schema/raw/master/csl-citation.json" }</w:instrText>
      </w:r>
      <w:r w:rsidR="00A6231B" w:rsidRPr="00C847C8">
        <w:rPr>
          <w:b/>
          <w:i/>
        </w:rPr>
        <w:fldChar w:fldCharType="separate"/>
      </w:r>
      <w:r w:rsidR="009F6736" w:rsidRPr="00C847C8">
        <w:rPr>
          <w:noProof/>
          <w:vertAlign w:val="superscript"/>
        </w:rPr>
        <w:t>2,3</w:t>
      </w:r>
      <w:r w:rsidR="00A6231B" w:rsidRPr="00C847C8">
        <w:rPr>
          <w:b/>
          <w:i/>
        </w:rPr>
        <w:fldChar w:fldCharType="end"/>
      </w:r>
      <w:r w:rsidRPr="00C847C8">
        <w:rPr>
          <w:b/>
          <w:i/>
        </w:rPr>
        <w:t xml:space="preserve"> </w:t>
      </w:r>
      <w:r w:rsidR="004521E4" w:rsidRPr="00C847C8">
        <w:t xml:space="preserve">The fluorescent dyes used as reference and pH sensor were commercially available Rhodamine B isothiocyanate (RBiTC) and fluorescein isothiocyanate (FiTC), respectively. The dyes were reacted with APTES to form RB-APS and FL-APS following a methodology previously optimized in our </w:t>
      </w:r>
      <w:r w:rsidR="009D7C63" w:rsidRPr="00C847C8">
        <w:t>research group</w:t>
      </w:r>
      <w:r w:rsidR="004521E4" w:rsidRPr="00C847C8">
        <w:t xml:space="preserve">. </w:t>
      </w:r>
      <w:r w:rsidR="00060D4D" w:rsidRPr="00C847C8">
        <w:t>23 μmo</w:t>
      </w:r>
      <w:r w:rsidR="00E422FB" w:rsidRPr="00C847C8">
        <w:t xml:space="preserve">les of fluorophore was dissolved </w:t>
      </w:r>
      <w:r w:rsidR="00060D4D" w:rsidRPr="00C847C8">
        <w:t>(</w:t>
      </w:r>
      <w:r w:rsidR="00287AC3" w:rsidRPr="00C847C8">
        <w:t>12.2 mg of RBiTC, 8.8 mg of</w:t>
      </w:r>
      <w:r w:rsidR="00060D4D" w:rsidRPr="00C847C8">
        <w:t xml:space="preserve"> FiTC</w:t>
      </w:r>
      <w:r w:rsidR="00E422FB" w:rsidRPr="00C847C8">
        <w:t>)</w:t>
      </w:r>
      <w:r w:rsidR="00060D4D" w:rsidRPr="00C847C8">
        <w:t xml:space="preserve"> in 450 μL of anhydrous DMF. 6.4 μL of APS and 6.4 μL of triethylamine were added and the resulting mixture was left to react in the dark at room temperature for 3 hours</w:t>
      </w:r>
      <w:r w:rsidR="00E422FB" w:rsidRPr="00C847C8">
        <w:t xml:space="preserve">. The APS-modified rhodamine B or fluorescein </w:t>
      </w:r>
      <w:r w:rsidR="00060D4D" w:rsidRPr="00C847C8">
        <w:t xml:space="preserve">solution was diluted to 50 mL with ethanol and stored in the dark at </w:t>
      </w:r>
      <w:r w:rsidR="00060D4D" w:rsidRPr="00C847C8">
        <w:noBreakHyphen/>
        <w:t>20 °C until use (within one week after their preparation).</w:t>
      </w:r>
    </w:p>
    <w:p w14:paraId="0133F809" w14:textId="4D65E3FC" w:rsidR="003245C6" w:rsidRPr="00C847C8" w:rsidRDefault="00060D4D" w:rsidP="009F02A4">
      <w:pPr>
        <w:ind w:firstLine="425"/>
        <w:contextualSpacing w:val="0"/>
      </w:pPr>
      <w:r w:rsidRPr="00C847C8">
        <w:rPr>
          <w:b/>
          <w:i/>
        </w:rPr>
        <w:t>Preparation of silanized methoxyquinolinium.</w:t>
      </w:r>
      <w:r w:rsidR="00C5134A" w:rsidRPr="00C847C8">
        <w:rPr>
          <w:b/>
          <w:i/>
        </w:rPr>
        <w:fldChar w:fldCharType="begin" w:fldLock="1"/>
      </w:r>
      <w:r w:rsidR="00C5134A" w:rsidRPr="00C847C8">
        <w:rPr>
          <w:b/>
          <w:i/>
        </w:rPr>
        <w:instrText>ADDIN CSL_CITATION { "citationItems" : [ { "id" : "ITEM-1", "itemData" : { "DOI" : "10.1021/ol300086w", "ISSN" : "15237060", "PMID" : "22630166", "abstract" : "NanoChlor, a nanoparticle-based fluorescent probe for chloride that is both ratiometric and capable of spontaneously penetrating neuronal cells at submillimolar concentrations, was designed and studied. NanoChlor is built on silica nanoparticles grafted with 6-methoxyquinolinium as the chloride-sensitive component and fluorescein as the reference dye. A Stern-Volmer constant of 50 M(-1) was measured in Ringer's buffer at pH 7.2, and the response to chemically induced chloride currents was recorded in real time in hippocampal cells.", "author" : [ { "dropping-particle" : "", "family" : "Ba\u00f9", "given" : "Luca", "non-dropping-particle" : "", "parse-names" : false, "suffix" : "" }, { "dropping-particle" : "", "family" : "Selvestrel", "given" : "Francesco", "non-dropping-particle" : "", "parse-names" : false, "suffix" : "" }, { "dropping-particle" : "", "family" : "Arduini", "given" : "Maria", "non-dropping-particle" : "", "parse-names" : false, "suffix" : "" }, { "dropping-particle" : "", "family" : "Zamparo", "given" : "Ilaria", "non-dropping-particle" : "", "parse-names" : false, "suffix" : "" }, { "dropping-particle" : "", "family" : "Lodovichi", "given" : "Claudia", "non-dropping-particle" : "", "parse-names" : false, "suffix" : "" }, { "dropping-particle" : "", "family" : "Mancin", "given" : "Fabrizio", "non-dropping-particle" : "", "parse-names" : false, "suffix" : "" } ], "container-title" : "Organic Letters", "id" : "ITEM-1", "issue" : "12", "issued" : { "date-parts" : [ [ "2012" ] ] }, "page" : "2984-2987", "title" : "A cell-penetrating ratiometric nanoprobe for intracellular chloride", "type" : "article-journal", "volume" : "14" }, "uris" : [ "http://www.mendeley.com/documents/?uuid=ff007a28-8599-4434-87a0-d8ed23e3ba04" ] } ], "mendeley" : { "formattedCitation" : "&lt;sup&gt;4&lt;/sup&gt;", "plainTextFormattedCitation" : "4", "previouslyFormattedCitation" : "&lt;sup&gt;4&lt;/sup&gt;" }, "properties" : { "noteIndex" : 0 }, "schema" : "https://github.com/citation-style-language/schema/raw/master/csl-citation.json" }</w:instrText>
      </w:r>
      <w:r w:rsidR="00C5134A" w:rsidRPr="00C847C8">
        <w:rPr>
          <w:b/>
          <w:i/>
        </w:rPr>
        <w:fldChar w:fldCharType="separate"/>
      </w:r>
      <w:r w:rsidR="00C5134A" w:rsidRPr="00C847C8">
        <w:rPr>
          <w:noProof/>
          <w:vertAlign w:val="superscript"/>
        </w:rPr>
        <w:t>4</w:t>
      </w:r>
      <w:r w:rsidR="00C5134A" w:rsidRPr="00C847C8">
        <w:rPr>
          <w:b/>
          <w:i/>
        </w:rPr>
        <w:fldChar w:fldCharType="end"/>
      </w:r>
      <w:r w:rsidRPr="00C847C8">
        <w:rPr>
          <w:b/>
          <w:i/>
        </w:rPr>
        <w:t xml:space="preserve"> </w:t>
      </w:r>
      <w:r w:rsidR="004521E4" w:rsidRPr="00C847C8">
        <w:t xml:space="preserve">Preparation of the silane-modified 6-methoxyquinolinium dye was taken from the work of Baù et </w:t>
      </w:r>
      <w:r w:rsidR="004521E4" w:rsidRPr="00C847C8">
        <w:rPr>
          <w:i/>
        </w:rPr>
        <w:t>al</w:t>
      </w:r>
      <w:r w:rsidR="004521E4" w:rsidRPr="00C847C8">
        <w:t>.</w:t>
      </w:r>
      <w:r w:rsidR="004521E4" w:rsidRPr="00C847C8">
        <w:rPr>
          <w:i/>
        </w:rPr>
        <w:t xml:space="preserve"> </w:t>
      </w:r>
      <w:r w:rsidR="00F44E6C" w:rsidRPr="00C847C8">
        <w:t>80 mg</w:t>
      </w:r>
      <w:r w:rsidR="00C13490" w:rsidRPr="00C847C8">
        <w:t xml:space="preserve"> of 6-methoxyquinoline</w:t>
      </w:r>
      <w:r w:rsidRPr="00C847C8">
        <w:t xml:space="preserve"> </w:t>
      </w:r>
      <w:r w:rsidR="00D55685" w:rsidRPr="00C847C8">
        <w:t>was</w:t>
      </w:r>
      <w:r w:rsidRPr="00C847C8">
        <w:t xml:space="preserve"> </w:t>
      </w:r>
      <w:r w:rsidR="00F44E6C" w:rsidRPr="00C847C8">
        <w:t>solubilized in 200 mg</w:t>
      </w:r>
      <w:r w:rsidRPr="00C847C8">
        <w:t xml:space="preserve"> of 11-bromoundecyltriethoxysilane and the mixture was heated to 95°C under nitrogen flow and vigorous agitation for 20 hours. The final solution was diluted to 50 mL in ethanol and kept in the dark at -20 °C.</w:t>
      </w:r>
    </w:p>
    <w:p w14:paraId="23467CA2" w14:textId="5633E8B2" w:rsidR="004521E4" w:rsidRPr="00C847C8" w:rsidRDefault="004521E4" w:rsidP="004521E4">
      <w:pPr>
        <w:ind w:firstLine="284"/>
      </w:pPr>
      <w:r w:rsidRPr="00C847C8">
        <w:rPr>
          <w:b/>
          <w:i/>
        </w:rPr>
        <w:t xml:space="preserve">Preparation of multishell nanoarchitectures. </w:t>
      </w:r>
      <w:r w:rsidRPr="00C847C8">
        <w:t>The condensation of silica shells on metallic colloids was performed using an ammonia-free synthesis route adapted from the literature (</w:t>
      </w:r>
      <w:r w:rsidRPr="00C847C8">
        <w:rPr>
          <w:b/>
        </w:rPr>
        <w:t>Fig. 1</w:t>
      </w:r>
      <w:r w:rsidRPr="00C847C8">
        <w:t>).</w:t>
      </w:r>
      <w:r w:rsidR="00C5134A" w:rsidRPr="00C847C8">
        <w:fldChar w:fldCharType="begin" w:fldLock="1"/>
      </w:r>
      <w:r w:rsidR="00711B03" w:rsidRPr="00C847C8">
        <w:instrText>ADDIN CSL_CITATION { "citationItems" : [ { "id" : "ITEM-1", "itemData" : { "DOI" : "10.1007/s11468-016-0186-5", "ISSN" : "15571963 15571955", "abstract" : "\u00a9 2016 Springer Science+Business Media New York Metal@silica concentric nanoparticles capable of metal-enhanced fluorescence (MEF) represent a powerful means to improve the brightness and stability of encapsulated organic fluorophores and are finding numerous applications in biology, analytical chemistry, and medical diagnostics. The rational design of MEF-enabled labels and sensors often involves comparing fluorescence enhancement factors (EF) between nanostructures having different structural properties (e.g., metal core diameter, silica shell thickness, extent of spectral overlap between plasmon band and fluorophore). Accurate determination of EFs requires the measurement of fluorescence emission intensity in the presence and absence of the plasmonic core while minimizing the impact of physical and chemical artifacts (e.g., signal variations due to scattering, adsorption, sedimentation). In this work, Ag@SiO2@SiO2 + x (where x is fluorescein, eosin, or rhodamine B) nanostructures were synthesized with excellent control of core size, silica spacer shell thickness and fluorophore concentration. Using UV-VIS spectrometry, spectrofluorimetry, time-resolved fluorometry, and transmission electron microscopy, we investigated the influence of these key structural factors on fluorescence emission intensity, and the results were used to develop a generalized methodology for the determination of fluorescence enhancement factors in Ag@SiO2 core-shell nanoparticles. This methodology should be of general importance to designing MEF-enabled nanostructures, sensors, and related analytical techniques.", "author" : [ { "dropping-particle" : "", "family" : "Asselin", "given" : "J.", "non-dropping-particle" : "", "parse-names" : false, "suffix" : "" }, { "dropping-particle" : "", "family" : "Legros", "given" : "P.", "non-dropping-particle" : "", "parse-names" : false, "suffix" : "" }, { "dropping-particle" : "", "family" : "Gr\u00e9goire", "given" : "A.", "non-dropping-particle" : "", "parse-names" : false, "suffix" : "" }, { "dropping-particle" : "", "family" : "Boudreau", "given" : "D.", "non-dropping-particle" : "", "parse-names" : false, "suffix" : "" } ], "container-title" : "Plasmonics", "id" : "ITEM-1", "issue" : "5", "issued" : { "date-parts" : [ [ "2016" ] ] }, "page" : "1369-1376", "title" : "Correlating Metal-Enhanced Fluorescence and Structural Properties in Ag@SiO2 Core-Shell Nanoparticles", "type" : "article-journal", "volume" : "11" }, "uris" : [ "http://www.mendeley.com/documents/?uuid=056d56e6-4e6a-35db-8f88-19a0e7ec7ced" ] }, { "id" : "ITEM-2", "itemData" : { "DOI" : "10.1016/j.jcis.2004.08.184", "ISBN" : "8122217729", "ISSN" : "00219797", "PMID" : "15721910", "abstract" : "Silver nanoparticles prepared through a borohydride-reduction method were directly coated with silica by means of a seeded polymerization technique based on the St\u00f6ber method. Various amine catalysts were used for initialization of a sol-gel reaction of TEOS with no need for a prior surface modification. Use of dimethylamine (DMA) as a catalyst was found to be necessary to obtain a proper coating. The silica shell thickness was varied from 28 to 76 nm for TEOS concentrations of 1-15 mM at 11.1 M water and 0.8 M DMA. The optical spectra of the core-shell silver-silica composite particles show a qualitative agreement with predictions by Mie theory. \u00a9 2004 Elsevier Inc. All rights reserved.", "author" : [ { "dropping-particle" : "", "family" : "Kobayashi", "given" : "Yoshio", "non-dropping-particle" : "", "parse-names" : false, "suffix" : "" }, { "dropping-particle" : "", "family" : "Katakami", "given" : "Hironori", "non-dropping-particle" : "", "parse-names" : false, "suffix" : "" }, { "dropping-particle" : "", "family" : "Mine", "given" : "Eiichi", "non-dropping-particle" : "", "parse-names" : false, "suffix" : "" }, { "dropping-particle" : "", "family" : "Nagao", "given" : "Daisuke", "non-dropping-particle" : "", "parse-names" : false, "suffix" : "" }, { "dropping-particle" : "", "family" : "Konno", "given" : "Mikio", "non-dropping-particle" : "", "parse-names" : false, "suffix" : "" }, { "dropping-particle" : "", "family" : "Liz-Marz\u00e1n", "given" : "Luis M.", "non-dropping-particle" : "", "parse-names" : false, "suffix" : "" } ], "container-title" : "Journal of Colloid and Interface Science", "id" : "ITEM-2", "issue" : "2", "issued" : { "date-parts" : [ [ "2005" ] ] }, "page" : "392-396", "title" : "Silica coating of silver nanoparticles using a modified St\u00f6ber method", "type" : "article-journal", "volume" : "283" }, "uris" : [ "http://www.mendeley.com/documents/?uuid=b33e4572-3090-4889-9c15-502cb356d58b" ] } ], "mendeley" : { "formattedCitation" : "&lt;sup&gt;2,5&lt;/sup&gt;", "plainTextFormattedCitation" : "2,5", "previouslyFormattedCitation" : "&lt;sup&gt;2,5&lt;/sup&gt;" }, "properties" : { "noteIndex" : 0 }, "schema" : "https://github.com/citation-style-language/schema/raw/master/csl-citation.json" }</w:instrText>
      </w:r>
      <w:r w:rsidR="00C5134A" w:rsidRPr="00C847C8">
        <w:fldChar w:fldCharType="separate"/>
      </w:r>
      <w:r w:rsidR="00C5134A" w:rsidRPr="00C847C8">
        <w:rPr>
          <w:noProof/>
          <w:vertAlign w:val="superscript"/>
        </w:rPr>
        <w:t>2,5</w:t>
      </w:r>
      <w:r w:rsidR="00C5134A" w:rsidRPr="00C847C8">
        <w:fldChar w:fldCharType="end"/>
      </w:r>
      <w:r w:rsidRPr="00C847C8">
        <w:t xml:space="preserve"> In a 50-mL polypropylene conical tube, 20 mL of ethanol, 0.5 mL of a 9 mM TEOS solution, 1.0 mL of In NPs suspension, 0.25 mL of DMA 40% wt and 2.0 mL of water were mixed vigorously for 15 minutes, before the addition of 75 µL of RB-APS solution. In@SiO</w:t>
      </w:r>
      <w:r w:rsidRPr="00C847C8">
        <w:rPr>
          <w:vertAlign w:val="subscript"/>
        </w:rPr>
        <w:t>2</w:t>
      </w:r>
      <w:r w:rsidRPr="00C847C8">
        <w:t xml:space="preserve">+RB NPs </w:t>
      </w:r>
      <w:r w:rsidRPr="00C847C8">
        <w:lastRenderedPageBreak/>
        <w:t>(abbreviated In@(RB)) were left to react for 20-24 hours, centrifuged three times at 8,000 RCF (10 minutes) and then dispersed in 30 mL of ethanol.</w:t>
      </w:r>
    </w:p>
    <w:p w14:paraId="622829C4" w14:textId="4C59226E" w:rsidR="004521E4" w:rsidRPr="00C847C8" w:rsidRDefault="004521E4" w:rsidP="004521E4">
      <w:pPr>
        <w:ind w:firstLine="284"/>
        <w:contextualSpacing w:val="0"/>
      </w:pPr>
      <w:r w:rsidRPr="00C847C8">
        <w:t>For the second shell, 12.5 mL of In@(RB) dispersion was diluted with 13.4 mL of 95% ethanol. A precise volume (0.2 to 5.0 mL) of a 9 mM TEOS solution was added, depending on the desir</w:t>
      </w:r>
      <w:r w:rsidR="00DF4DB2">
        <w:t>ed spacer thickness (1 to 40 nm,</w:t>
      </w:r>
      <w:r w:rsidRPr="00C847C8">
        <w:t xml:space="preserve"> </w:t>
      </w:r>
      <w:r w:rsidRPr="00C847C8">
        <w:rPr>
          <w:b/>
        </w:rPr>
        <w:t>Fig. S2</w:t>
      </w:r>
      <w:r w:rsidRPr="00C847C8">
        <w:t>), before the addition of 0.3 mL of DMA 40% wt and 0.25 mL of FL-APS moieties. After 20-24 h of condensation, the resulting In@SiO</w:t>
      </w:r>
      <w:r w:rsidRPr="00C847C8">
        <w:rPr>
          <w:vertAlign w:val="subscript"/>
        </w:rPr>
        <w:t>2</w:t>
      </w:r>
      <w:r w:rsidRPr="00C847C8">
        <w:t>+RB@SiO</w:t>
      </w:r>
      <w:r w:rsidRPr="00C847C8">
        <w:rPr>
          <w:vertAlign w:val="subscript"/>
        </w:rPr>
        <w:t>2</w:t>
      </w:r>
      <w:r w:rsidRPr="00C847C8">
        <w:t>+FL core-shell NPs (abbreviated In@(RB)@(FL)) were centrifuged three times at 8,000 RCF (10 min) and dispersed in 10 mL ethanol. Finally, the silane-modified 6-methoxyquinolinium was covalently bound to the outer surface of In@(RB)@(FL) by condensation with ammonia as catalyst. 20 µL of MQ-silane precursor and 150 µL of 30% wt ammonia aqueous solution were added to the previous dispersion of core-multishell colloids in ethanol and allowed to react for 4 hours under vigorous stirring at room temperature. The resulting In@SiO</w:t>
      </w:r>
      <w:r w:rsidRPr="00C847C8">
        <w:rPr>
          <w:vertAlign w:val="subscript"/>
        </w:rPr>
        <w:t>2</w:t>
      </w:r>
      <w:r w:rsidRPr="00C847C8">
        <w:t>+RB@SiO</w:t>
      </w:r>
      <w:r w:rsidRPr="00C847C8">
        <w:rPr>
          <w:vertAlign w:val="subscript"/>
        </w:rPr>
        <w:t>2</w:t>
      </w:r>
      <w:r w:rsidRPr="00C847C8">
        <w:t>+FL@MQ nanostructures (abbreviated In@(RB)@(FL)@MQ) were centrifuged three times at 8,000 RCF (10 min) and finally dispersed in 10 mL of ethanol.</w:t>
      </w:r>
    </w:p>
    <w:p w14:paraId="44FA8EE5" w14:textId="3CD93B78" w:rsidR="00BD354D" w:rsidRPr="00C847C8" w:rsidRDefault="00BD354D" w:rsidP="004521E4">
      <w:pPr>
        <w:ind w:firstLine="284"/>
        <w:contextualSpacing w:val="0"/>
      </w:pPr>
      <w:r w:rsidRPr="00C847C8">
        <w:rPr>
          <w:b/>
          <w:i/>
        </w:rPr>
        <w:t xml:space="preserve">Preparation of pH buffers and halide solutions. </w:t>
      </w:r>
      <w:r w:rsidR="00E52D0E" w:rsidRPr="00C847C8">
        <w:t>The phosphate buffers were prepared with different ratios of KH</w:t>
      </w:r>
      <w:r w:rsidR="00E52D0E" w:rsidRPr="00C847C8">
        <w:rPr>
          <w:vertAlign w:val="subscript"/>
        </w:rPr>
        <w:t>2</w:t>
      </w:r>
      <w:r w:rsidR="00E52D0E" w:rsidRPr="00C847C8">
        <w:t>PO</w:t>
      </w:r>
      <w:r w:rsidR="00E52D0E" w:rsidRPr="00C847C8">
        <w:rPr>
          <w:vertAlign w:val="subscript"/>
        </w:rPr>
        <w:t>4</w:t>
      </w:r>
      <w:r w:rsidR="00E52D0E" w:rsidRPr="00C847C8">
        <w:t xml:space="preserve"> and K</w:t>
      </w:r>
      <w:r w:rsidR="00E52D0E" w:rsidRPr="00C847C8">
        <w:rPr>
          <w:vertAlign w:val="subscript"/>
        </w:rPr>
        <w:t>2</w:t>
      </w:r>
      <w:r w:rsidR="00E52D0E" w:rsidRPr="00C847C8">
        <w:t>HPO</w:t>
      </w:r>
      <w:r w:rsidR="00E52D0E" w:rsidRPr="00C847C8">
        <w:rPr>
          <w:vertAlign w:val="subscript"/>
        </w:rPr>
        <w:t>4</w:t>
      </w:r>
      <w:r w:rsidR="00E52D0E" w:rsidRPr="00C847C8">
        <w:t xml:space="preserve"> at 0.1 M to modulate pH, </w:t>
      </w:r>
      <w:r w:rsidR="009F02A4">
        <w:t>with</w:t>
      </w:r>
      <w:r w:rsidR="00E52D0E" w:rsidRPr="00C847C8">
        <w:t xml:space="preserve"> </w:t>
      </w:r>
      <w:r w:rsidR="00DF4DB2">
        <w:t>addition</w:t>
      </w:r>
      <w:r w:rsidR="009F02A4">
        <w:t>s</w:t>
      </w:r>
      <w:r w:rsidR="00DF4DB2">
        <w:t xml:space="preserve"> of </w:t>
      </w:r>
      <w:r w:rsidR="00E52D0E" w:rsidRPr="00C847C8">
        <w:t>KCl, KBr and KCl to modulate halide ion concentrations. The choice of these potassium salts in our experiments was made to introduce only one cationic species and to limit its reactivity toward our core-multishell In@SiO</w:t>
      </w:r>
      <w:r w:rsidR="00E52D0E" w:rsidRPr="00C847C8">
        <w:rPr>
          <w:vertAlign w:val="subscript"/>
        </w:rPr>
        <w:t>2</w:t>
      </w:r>
      <w:r w:rsidR="00E52D0E" w:rsidRPr="00C847C8">
        <w:t xml:space="preserve"> architecture</w:t>
      </w:r>
      <w:r w:rsidR="00B24CAD" w:rsidRPr="00C847C8">
        <w:t>s</w:t>
      </w:r>
      <w:r w:rsidR="00E52D0E" w:rsidRPr="00C847C8">
        <w:t>.</w:t>
      </w:r>
    </w:p>
    <w:p w14:paraId="799D82F9" w14:textId="0DCCFBD7" w:rsidR="004521E4" w:rsidRPr="00C847C8" w:rsidRDefault="004521E4" w:rsidP="004521E4">
      <w:pPr>
        <w:ind w:firstLine="284"/>
      </w:pPr>
      <w:r w:rsidRPr="00C847C8">
        <w:rPr>
          <w:b/>
          <w:i/>
        </w:rPr>
        <w:t xml:space="preserve">Characterization. </w:t>
      </w:r>
      <w:r w:rsidRPr="00C847C8">
        <w:t xml:space="preserve">Nanoparticles were characterized by UV-visible spectrophotometry (Cary 50, Agilent Technologies) and transmission electronic microscopy (TEM, Tecnai G2 Spirit, FEI). Fluorescent core-multishell nanoparticles were characterized by spectrofluorimetry (Fluorolog 3, Jobin-Yvon Horiba), Zeta-potential measurements (Nano ZS Zetasizer, Malvern Instruments) and </w:t>
      </w:r>
      <w:r w:rsidRPr="00C847C8">
        <w:lastRenderedPageBreak/>
        <w:t>time-resolved fluorescence decay measurements (custom-made system using a 308 nm XeCl excimer laser source). Fluorescence decay curves were fitted with a single-exponential model with reconvolution of the instrumental response function (FluoFit data analysis software, PicoQuant GmbH).</w:t>
      </w:r>
    </w:p>
    <w:p w14:paraId="07565B56" w14:textId="4D3358DF" w:rsidR="008D3FED" w:rsidRPr="00C847C8" w:rsidRDefault="00E52D0E" w:rsidP="008D3FED">
      <w:pPr>
        <w:spacing w:after="0"/>
        <w:ind w:firstLine="426"/>
        <w:jc w:val="left"/>
        <w:rPr>
          <w:b/>
        </w:rPr>
      </w:pPr>
      <w:r w:rsidRPr="00C847C8">
        <w:rPr>
          <w:b/>
        </w:rPr>
        <w:br w:type="column"/>
      </w:r>
      <w:r w:rsidR="00E912B6" w:rsidRPr="00C847C8">
        <w:rPr>
          <w:b/>
        </w:rPr>
        <w:lastRenderedPageBreak/>
        <w:t>B</w:t>
      </w:r>
      <w:r w:rsidR="008D3FED" w:rsidRPr="00C847C8">
        <w:rPr>
          <w:b/>
        </w:rPr>
        <w:t>. METHODOLOGIES</w:t>
      </w:r>
    </w:p>
    <w:p w14:paraId="75E10FD9" w14:textId="76F4EC70" w:rsidR="00303EDB" w:rsidRPr="00C847C8" w:rsidRDefault="00303EDB" w:rsidP="002728C9">
      <w:pPr>
        <w:spacing w:after="200"/>
        <w:ind w:firstLine="425"/>
        <w:contextualSpacing w:val="0"/>
        <w:rPr>
          <w:b/>
          <w:i/>
        </w:rPr>
      </w:pPr>
      <w:r w:rsidRPr="00C847C8">
        <w:rPr>
          <w:b/>
          <w:i/>
        </w:rPr>
        <w:t xml:space="preserve">Measurement of silica shells. </w:t>
      </w:r>
      <w:r w:rsidRPr="00C847C8">
        <w:t xml:space="preserve">The thickness of the silica shells condensed around indium cores was measured by using transmission electronic micrographs processed with the iSOLUTION software (IMT; Cicero, NY). Briefly, the thickness </w:t>
      </w:r>
      <w:r w:rsidR="00070435" w:rsidRPr="00C847C8">
        <w:t xml:space="preserve">value </w:t>
      </w:r>
      <w:r w:rsidRPr="00C847C8">
        <w:t>corresponds to the length of a radial line traced through the dielectric shell</w:t>
      </w:r>
      <w:r w:rsidR="00070435" w:rsidRPr="00C847C8">
        <w:t xml:space="preserve">, which can be distinguished by a change in contrast. </w:t>
      </w:r>
      <w:r w:rsidR="00BD1605" w:rsidRPr="00C847C8">
        <w:t>The a</w:t>
      </w:r>
      <w:r w:rsidR="00070435" w:rsidRPr="00C847C8">
        <w:t xml:space="preserve">verage values and standard deviations presented in this work were measured </w:t>
      </w:r>
      <w:r w:rsidR="009F02A4">
        <w:t>with three</w:t>
      </w:r>
      <w:r w:rsidR="00BD1605" w:rsidRPr="00C847C8">
        <w:t xml:space="preserve"> radial lines for every colloids, for over 150 particles in each sample.</w:t>
      </w:r>
    </w:p>
    <w:p w14:paraId="3D19D45D" w14:textId="162CE8D5" w:rsidR="003F68F0" w:rsidRPr="00C847C8" w:rsidRDefault="00303EDB" w:rsidP="009F02A4">
      <w:pPr>
        <w:spacing w:after="200"/>
        <w:ind w:firstLine="425"/>
        <w:contextualSpacing w:val="0"/>
      </w:pPr>
      <w:r w:rsidRPr="00C847C8">
        <w:rPr>
          <w:b/>
          <w:i/>
        </w:rPr>
        <w:t>Evaluation</w:t>
      </w:r>
      <w:r w:rsidR="003F68F0" w:rsidRPr="00C847C8">
        <w:rPr>
          <w:b/>
          <w:i/>
        </w:rPr>
        <w:t xml:space="preserve"> of </w:t>
      </w:r>
      <w:r w:rsidR="00267BF2" w:rsidRPr="00C847C8">
        <w:rPr>
          <w:b/>
          <w:i/>
        </w:rPr>
        <w:t xml:space="preserve">MQ enhancement factors. </w:t>
      </w:r>
      <w:r w:rsidR="00336058" w:rsidRPr="00C847C8">
        <w:t>The improvement in fluorescence signal was estimated with the condensation of thick silica spacer shells</w:t>
      </w:r>
      <w:r w:rsidR="004D3734" w:rsidRPr="00C847C8">
        <w:t xml:space="preserve">, where MQ is positioned </w:t>
      </w:r>
      <w:r w:rsidR="00336058" w:rsidRPr="00C847C8">
        <w:t>outside of the plasmonic range of In cores. The ratiometric I</w:t>
      </w:r>
      <w:r w:rsidR="00336058" w:rsidRPr="00C847C8">
        <w:rPr>
          <w:vertAlign w:val="subscript"/>
        </w:rPr>
        <w:t>MQ</w:t>
      </w:r>
      <w:r w:rsidR="00336058" w:rsidRPr="00C847C8">
        <w:t>/I</w:t>
      </w:r>
      <w:r w:rsidR="00336058" w:rsidRPr="00C847C8">
        <w:rPr>
          <w:vertAlign w:val="subscript"/>
        </w:rPr>
        <w:t>RB</w:t>
      </w:r>
      <w:r w:rsidR="00336058" w:rsidRPr="00C847C8">
        <w:t xml:space="preserve"> intensity of In@(RB)@SiO</w:t>
      </w:r>
      <w:r w:rsidR="00336058" w:rsidRPr="00C847C8">
        <w:rPr>
          <w:vertAlign w:val="subscript"/>
        </w:rPr>
        <w:t>2</w:t>
      </w:r>
      <w:r w:rsidR="00336058" w:rsidRPr="00C847C8">
        <w:t xml:space="preserve">@MQ with 45 nm spacers </w:t>
      </w:r>
      <w:r w:rsidR="00685D3E" w:rsidRPr="00C847C8">
        <w:t>(</w:t>
      </w:r>
      <w:r w:rsidR="00685D3E" w:rsidRPr="00C847C8">
        <w:rPr>
          <w:i/>
        </w:rPr>
        <w:t>N</w:t>
      </w:r>
      <w:r w:rsidR="00685D3E" w:rsidRPr="00C847C8">
        <w:t xml:space="preserve"> = 3) </w:t>
      </w:r>
      <w:r w:rsidR="00336058" w:rsidRPr="00C847C8">
        <w:t xml:space="preserve">was </w:t>
      </w:r>
      <w:r w:rsidR="004D3734" w:rsidRPr="00C847C8">
        <w:t xml:space="preserve">used as </w:t>
      </w:r>
      <w:r w:rsidR="00685D3E" w:rsidRPr="00C847C8">
        <w:rPr>
          <w:i/>
        </w:rPr>
        <w:t>F</w:t>
      </w:r>
      <w:r w:rsidR="00685D3E" w:rsidRPr="00C847C8">
        <w:rPr>
          <w:vertAlign w:val="subscript"/>
        </w:rPr>
        <w:t>0</w:t>
      </w:r>
      <w:r w:rsidR="00685D3E" w:rsidRPr="00C847C8">
        <w:t xml:space="preserve"> value to calculate enhancement factors (</w:t>
      </w:r>
      <w:r w:rsidR="00685D3E" w:rsidRPr="00C847C8">
        <w:rPr>
          <w:i/>
        </w:rPr>
        <w:t>F</w:t>
      </w:r>
      <w:r w:rsidR="00685D3E" w:rsidRPr="009F02A4">
        <w:t>/</w:t>
      </w:r>
      <w:r w:rsidR="00685D3E" w:rsidRPr="00C847C8">
        <w:rPr>
          <w:i/>
        </w:rPr>
        <w:t>F</w:t>
      </w:r>
      <w:r w:rsidR="00685D3E" w:rsidRPr="00C847C8">
        <w:rPr>
          <w:vertAlign w:val="subscript"/>
        </w:rPr>
        <w:t>0</w:t>
      </w:r>
      <w:r w:rsidR="00685D3E" w:rsidRPr="00C847C8">
        <w:t>)</w:t>
      </w:r>
      <w:r w:rsidR="00B04186" w:rsidRPr="00C847C8">
        <w:t>.</w:t>
      </w:r>
      <w:r w:rsidR="00852604" w:rsidRPr="00C847C8">
        <w:t xml:space="preserve"> </w:t>
      </w:r>
    </w:p>
    <w:p w14:paraId="7EAA31F4" w14:textId="77777777" w:rsidR="002728C9" w:rsidRPr="00C847C8" w:rsidRDefault="009D102F" w:rsidP="009F02A4">
      <w:pPr>
        <w:spacing w:after="200"/>
        <w:ind w:firstLine="425"/>
        <w:contextualSpacing w:val="0"/>
      </w:pPr>
      <w:r w:rsidRPr="00C847C8">
        <w:rPr>
          <w:b/>
          <w:i/>
        </w:rPr>
        <w:t>Application of ratiometry in In@(RB)@(FL)@MQ.</w:t>
      </w:r>
      <w:r w:rsidR="002A4D3B" w:rsidRPr="00C847C8">
        <w:t xml:space="preserve"> </w:t>
      </w:r>
      <w:r w:rsidR="00D703A9" w:rsidRPr="00C847C8">
        <w:t>In order to minimize the influence of energy transfer mechanisms in our concentric multi-elementary nanosensors, spectrofluorimetric experiments were achieved by successive excitation of each fluorophores</w:t>
      </w:r>
      <w:r w:rsidR="003349D0" w:rsidRPr="00C847C8">
        <w:t xml:space="preserve"> and integration of the intensity values at maximal wavelengths of emission</w:t>
      </w:r>
      <w:r w:rsidR="00D703A9" w:rsidRPr="00C847C8">
        <w:t>. Instrument</w:t>
      </w:r>
      <w:r w:rsidR="006A1BA8" w:rsidRPr="00C847C8">
        <w:t>al parameters are presented in T</w:t>
      </w:r>
      <w:r w:rsidR="00D703A9" w:rsidRPr="00C847C8">
        <w:t xml:space="preserve">able </w:t>
      </w:r>
      <w:r w:rsidR="006A1BA8" w:rsidRPr="00C847C8">
        <w:t>S</w:t>
      </w:r>
      <w:r w:rsidR="00D703A9" w:rsidRPr="00C847C8">
        <w:t>1.</w:t>
      </w:r>
    </w:p>
    <w:tbl>
      <w:tblPr>
        <w:tblStyle w:val="Grilledutableau"/>
        <w:tblpPr w:leftFromText="180" w:rightFromText="180" w:vertAnchor="text" w:horzAnchor="margin" w:tblpXSpec="center" w:tblpY="326"/>
        <w:tblW w:w="0" w:type="auto"/>
        <w:tblBorders>
          <w:insideH w:val="none" w:sz="0" w:space="0" w:color="auto"/>
          <w:insideV w:val="none" w:sz="0" w:space="0" w:color="auto"/>
        </w:tblBorders>
        <w:tblLook w:val="04A0" w:firstRow="1" w:lastRow="0" w:firstColumn="1" w:lastColumn="0" w:noHBand="0" w:noVBand="1"/>
      </w:tblPr>
      <w:tblGrid>
        <w:gridCol w:w="1788"/>
        <w:gridCol w:w="1348"/>
        <w:gridCol w:w="2176"/>
      </w:tblGrid>
      <w:tr w:rsidR="002728C9" w:rsidRPr="00C847C8" w14:paraId="58DEDA54" w14:textId="77777777" w:rsidTr="002728C9">
        <w:trPr>
          <w:trHeight w:val="517"/>
        </w:trPr>
        <w:tc>
          <w:tcPr>
            <w:tcW w:w="1788" w:type="dxa"/>
            <w:tcBorders>
              <w:top w:val="single" w:sz="4" w:space="0" w:color="auto"/>
              <w:bottom w:val="nil"/>
              <w:right w:val="single" w:sz="4" w:space="0" w:color="auto"/>
            </w:tcBorders>
            <w:shd w:val="clear" w:color="auto" w:fill="000000" w:themeFill="text1"/>
            <w:vAlign w:val="center"/>
          </w:tcPr>
          <w:p w14:paraId="3B6D14CB" w14:textId="77777777" w:rsidR="002728C9" w:rsidRPr="00C847C8" w:rsidRDefault="002728C9" w:rsidP="002728C9">
            <w:pPr>
              <w:spacing w:after="0" w:line="240" w:lineRule="auto"/>
              <w:ind w:firstLine="0"/>
              <w:jc w:val="center"/>
              <w:rPr>
                <w:rFonts w:asciiTheme="minorHAnsi" w:hAnsiTheme="minorHAnsi"/>
                <w:b/>
                <w:color w:val="FFFFFF" w:themeColor="background1"/>
              </w:rPr>
            </w:pPr>
            <w:r w:rsidRPr="00C847C8">
              <w:rPr>
                <w:rFonts w:asciiTheme="minorHAnsi" w:hAnsiTheme="minorHAnsi"/>
                <w:b/>
                <w:color w:val="FFFFFF" w:themeColor="background1"/>
              </w:rPr>
              <w:t>Fluorophore</w:t>
            </w:r>
          </w:p>
        </w:tc>
        <w:tc>
          <w:tcPr>
            <w:tcW w:w="1348" w:type="dxa"/>
            <w:tcBorders>
              <w:left w:val="single" w:sz="4" w:space="0" w:color="auto"/>
            </w:tcBorders>
            <w:shd w:val="clear" w:color="auto" w:fill="000000" w:themeFill="text1"/>
            <w:vAlign w:val="center"/>
          </w:tcPr>
          <w:p w14:paraId="62C38AA2" w14:textId="77777777" w:rsidR="002728C9" w:rsidRPr="00C847C8" w:rsidRDefault="002728C9" w:rsidP="002728C9">
            <w:pPr>
              <w:spacing w:after="0" w:line="240" w:lineRule="auto"/>
              <w:ind w:firstLine="0"/>
              <w:jc w:val="center"/>
              <w:rPr>
                <w:rFonts w:asciiTheme="minorHAnsi" w:hAnsiTheme="minorHAnsi"/>
                <w:b/>
                <w:color w:val="FFFFFF" w:themeColor="background1"/>
              </w:rPr>
            </w:pPr>
            <w:r w:rsidRPr="00C847C8">
              <w:rPr>
                <w:rFonts w:asciiTheme="minorHAnsi" w:hAnsiTheme="minorHAnsi"/>
                <w:b/>
                <w:color w:val="FFFFFF" w:themeColor="background1"/>
              </w:rPr>
              <w:t>Excitation</w:t>
            </w:r>
          </w:p>
          <w:p w14:paraId="02AA4F5C" w14:textId="77777777" w:rsidR="002728C9" w:rsidRPr="00C847C8" w:rsidRDefault="002728C9" w:rsidP="002728C9">
            <w:pPr>
              <w:spacing w:after="0" w:line="240" w:lineRule="auto"/>
              <w:ind w:firstLine="0"/>
              <w:jc w:val="center"/>
              <w:rPr>
                <w:rFonts w:asciiTheme="minorHAnsi" w:hAnsiTheme="minorHAnsi"/>
                <w:b/>
                <w:color w:val="FFFFFF" w:themeColor="background1"/>
              </w:rPr>
            </w:pPr>
            <w:r w:rsidRPr="00C847C8">
              <w:rPr>
                <w:rFonts w:asciiTheme="minorHAnsi" w:hAnsiTheme="minorHAnsi"/>
                <w:b/>
                <w:color w:val="FFFFFF" w:themeColor="background1"/>
              </w:rPr>
              <w:t>(nm)</w:t>
            </w:r>
          </w:p>
        </w:tc>
        <w:tc>
          <w:tcPr>
            <w:tcW w:w="2176" w:type="dxa"/>
            <w:shd w:val="clear" w:color="auto" w:fill="000000" w:themeFill="text1"/>
            <w:vAlign w:val="center"/>
          </w:tcPr>
          <w:p w14:paraId="5AB31C1E" w14:textId="77777777" w:rsidR="002728C9" w:rsidRPr="00C847C8" w:rsidRDefault="002728C9" w:rsidP="002728C9">
            <w:pPr>
              <w:spacing w:after="0" w:line="240" w:lineRule="auto"/>
              <w:ind w:firstLine="0"/>
              <w:jc w:val="center"/>
              <w:rPr>
                <w:rFonts w:asciiTheme="minorHAnsi" w:hAnsiTheme="minorHAnsi"/>
                <w:b/>
                <w:color w:val="FFFFFF" w:themeColor="background1"/>
              </w:rPr>
            </w:pPr>
            <w:r w:rsidRPr="00C847C8">
              <w:rPr>
                <w:rFonts w:asciiTheme="minorHAnsi" w:hAnsiTheme="minorHAnsi"/>
                <w:b/>
                <w:color w:val="FFFFFF" w:themeColor="background1"/>
              </w:rPr>
              <w:t>Emission</w:t>
            </w:r>
          </w:p>
          <w:p w14:paraId="244A7E5F" w14:textId="77777777" w:rsidR="002728C9" w:rsidRPr="00C847C8" w:rsidRDefault="002728C9" w:rsidP="002728C9">
            <w:pPr>
              <w:spacing w:after="0" w:line="240" w:lineRule="auto"/>
              <w:ind w:firstLine="0"/>
              <w:jc w:val="center"/>
              <w:rPr>
                <w:rFonts w:asciiTheme="minorHAnsi" w:hAnsiTheme="minorHAnsi"/>
                <w:b/>
                <w:color w:val="FFFFFF" w:themeColor="background1"/>
              </w:rPr>
            </w:pPr>
            <w:r w:rsidRPr="00C847C8">
              <w:rPr>
                <w:rFonts w:asciiTheme="minorHAnsi" w:hAnsiTheme="minorHAnsi"/>
                <w:b/>
                <w:color w:val="FFFFFF" w:themeColor="background1"/>
              </w:rPr>
              <w:t>(nm)</w:t>
            </w:r>
          </w:p>
        </w:tc>
      </w:tr>
      <w:tr w:rsidR="002728C9" w:rsidRPr="00C847C8" w14:paraId="4E3D72F4" w14:textId="77777777" w:rsidTr="002728C9">
        <w:trPr>
          <w:trHeight w:val="340"/>
        </w:trPr>
        <w:tc>
          <w:tcPr>
            <w:tcW w:w="1788" w:type="dxa"/>
            <w:tcBorders>
              <w:top w:val="nil"/>
              <w:bottom w:val="nil"/>
              <w:right w:val="single" w:sz="4" w:space="0" w:color="auto"/>
            </w:tcBorders>
            <w:vAlign w:val="center"/>
          </w:tcPr>
          <w:p w14:paraId="786A9DDB"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MQ</w:t>
            </w:r>
          </w:p>
        </w:tc>
        <w:tc>
          <w:tcPr>
            <w:tcW w:w="1348" w:type="dxa"/>
            <w:tcBorders>
              <w:left w:val="single" w:sz="4" w:space="0" w:color="auto"/>
            </w:tcBorders>
            <w:vAlign w:val="center"/>
          </w:tcPr>
          <w:p w14:paraId="2D36D67E"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340</w:t>
            </w:r>
          </w:p>
        </w:tc>
        <w:tc>
          <w:tcPr>
            <w:tcW w:w="2176" w:type="dxa"/>
            <w:vAlign w:val="center"/>
          </w:tcPr>
          <w:p w14:paraId="2BCF6409"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430-470</w:t>
            </w:r>
          </w:p>
        </w:tc>
      </w:tr>
      <w:tr w:rsidR="002728C9" w:rsidRPr="00C847C8" w14:paraId="5C69924C" w14:textId="77777777" w:rsidTr="002728C9">
        <w:trPr>
          <w:trHeight w:val="340"/>
        </w:trPr>
        <w:tc>
          <w:tcPr>
            <w:tcW w:w="1788" w:type="dxa"/>
            <w:tcBorders>
              <w:top w:val="nil"/>
              <w:bottom w:val="nil"/>
              <w:right w:val="single" w:sz="4" w:space="0" w:color="auto"/>
            </w:tcBorders>
            <w:vAlign w:val="center"/>
          </w:tcPr>
          <w:p w14:paraId="266FD1A2"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FL (acidic)</w:t>
            </w:r>
          </w:p>
        </w:tc>
        <w:tc>
          <w:tcPr>
            <w:tcW w:w="1348" w:type="dxa"/>
            <w:tcBorders>
              <w:left w:val="single" w:sz="4" w:space="0" w:color="auto"/>
            </w:tcBorders>
            <w:vAlign w:val="center"/>
          </w:tcPr>
          <w:p w14:paraId="2ACA0945"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440</w:t>
            </w:r>
          </w:p>
        </w:tc>
        <w:tc>
          <w:tcPr>
            <w:tcW w:w="2176" w:type="dxa"/>
            <w:vAlign w:val="center"/>
          </w:tcPr>
          <w:p w14:paraId="23D2789B"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510-550</w:t>
            </w:r>
          </w:p>
        </w:tc>
      </w:tr>
      <w:tr w:rsidR="002728C9" w:rsidRPr="00C847C8" w14:paraId="4FDAE57E" w14:textId="77777777" w:rsidTr="002728C9">
        <w:trPr>
          <w:trHeight w:val="340"/>
        </w:trPr>
        <w:tc>
          <w:tcPr>
            <w:tcW w:w="1788" w:type="dxa"/>
            <w:tcBorders>
              <w:top w:val="nil"/>
              <w:bottom w:val="nil"/>
              <w:right w:val="single" w:sz="4" w:space="0" w:color="auto"/>
            </w:tcBorders>
            <w:vAlign w:val="center"/>
          </w:tcPr>
          <w:p w14:paraId="591E4C18"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FL (basic)</w:t>
            </w:r>
          </w:p>
        </w:tc>
        <w:tc>
          <w:tcPr>
            <w:tcW w:w="1348" w:type="dxa"/>
            <w:tcBorders>
              <w:left w:val="single" w:sz="4" w:space="0" w:color="auto"/>
            </w:tcBorders>
            <w:vAlign w:val="center"/>
          </w:tcPr>
          <w:p w14:paraId="7A5A106E"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490</w:t>
            </w:r>
          </w:p>
        </w:tc>
        <w:tc>
          <w:tcPr>
            <w:tcW w:w="2176" w:type="dxa"/>
            <w:vAlign w:val="center"/>
          </w:tcPr>
          <w:p w14:paraId="6C353263"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510-550</w:t>
            </w:r>
          </w:p>
        </w:tc>
      </w:tr>
      <w:tr w:rsidR="002728C9" w:rsidRPr="00C847C8" w14:paraId="5DB18FA4" w14:textId="77777777" w:rsidTr="002728C9">
        <w:trPr>
          <w:trHeight w:val="340"/>
        </w:trPr>
        <w:tc>
          <w:tcPr>
            <w:tcW w:w="1788" w:type="dxa"/>
            <w:tcBorders>
              <w:top w:val="nil"/>
              <w:bottom w:val="single" w:sz="4" w:space="0" w:color="auto"/>
              <w:right w:val="single" w:sz="4" w:space="0" w:color="auto"/>
            </w:tcBorders>
            <w:vAlign w:val="center"/>
          </w:tcPr>
          <w:p w14:paraId="1BA2F169"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RB</w:t>
            </w:r>
          </w:p>
        </w:tc>
        <w:tc>
          <w:tcPr>
            <w:tcW w:w="1348" w:type="dxa"/>
            <w:tcBorders>
              <w:left w:val="single" w:sz="4" w:space="0" w:color="auto"/>
            </w:tcBorders>
            <w:vAlign w:val="center"/>
          </w:tcPr>
          <w:p w14:paraId="55140C6E"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540</w:t>
            </w:r>
          </w:p>
        </w:tc>
        <w:tc>
          <w:tcPr>
            <w:tcW w:w="2176" w:type="dxa"/>
            <w:vAlign w:val="center"/>
          </w:tcPr>
          <w:p w14:paraId="7D2DB624" w14:textId="77777777" w:rsidR="002728C9" w:rsidRPr="00C847C8" w:rsidRDefault="002728C9" w:rsidP="002728C9">
            <w:pPr>
              <w:spacing w:after="0" w:line="240" w:lineRule="auto"/>
              <w:ind w:firstLine="0"/>
              <w:jc w:val="center"/>
              <w:rPr>
                <w:rFonts w:asciiTheme="minorHAnsi" w:hAnsiTheme="minorHAnsi"/>
                <w:sz w:val="22"/>
              </w:rPr>
            </w:pPr>
            <w:r w:rsidRPr="00C847C8">
              <w:rPr>
                <w:rFonts w:asciiTheme="minorHAnsi" w:hAnsiTheme="minorHAnsi"/>
                <w:sz w:val="22"/>
              </w:rPr>
              <w:t>575-615</w:t>
            </w:r>
          </w:p>
        </w:tc>
      </w:tr>
    </w:tbl>
    <w:p w14:paraId="11C9CE90" w14:textId="624B4D95" w:rsidR="00F54BB8" w:rsidRPr="00C847C8" w:rsidRDefault="00F54BB8" w:rsidP="002728C9">
      <w:pPr>
        <w:ind w:firstLine="425"/>
        <w:contextualSpacing w:val="0"/>
        <w:jc w:val="left"/>
        <w:rPr>
          <w:b/>
        </w:rPr>
      </w:pPr>
      <w:r w:rsidRPr="00C847C8">
        <w:rPr>
          <w:b/>
        </w:rPr>
        <w:t xml:space="preserve">Table </w:t>
      </w:r>
      <w:r w:rsidR="006A1BA8" w:rsidRPr="00C847C8">
        <w:rPr>
          <w:b/>
        </w:rPr>
        <w:t>S</w:t>
      </w:r>
      <w:r w:rsidRPr="00C847C8">
        <w:rPr>
          <w:b/>
        </w:rPr>
        <w:t xml:space="preserve">1. </w:t>
      </w:r>
      <w:r w:rsidR="009D7C63" w:rsidRPr="00C847C8">
        <w:rPr>
          <w:b/>
        </w:rPr>
        <w:t>Fluorescence</w:t>
      </w:r>
      <w:r w:rsidRPr="00C847C8">
        <w:rPr>
          <w:b/>
        </w:rPr>
        <w:t xml:space="preserve"> wavelengths used for In@(RB)@(FL)@MQ</w:t>
      </w:r>
    </w:p>
    <w:p w14:paraId="57A1170B" w14:textId="77777777" w:rsidR="00D703A9" w:rsidRPr="00C847C8" w:rsidRDefault="00D703A9" w:rsidP="00D703A9">
      <w:pPr>
        <w:ind w:firstLine="425"/>
        <w:contextualSpacing w:val="0"/>
        <w:jc w:val="center"/>
      </w:pPr>
    </w:p>
    <w:p w14:paraId="70CE73A7" w14:textId="77777777" w:rsidR="00060D4D" w:rsidRPr="00C847C8" w:rsidRDefault="00060D4D" w:rsidP="005A7803">
      <w:pPr>
        <w:ind w:firstLine="426"/>
      </w:pPr>
    </w:p>
    <w:p w14:paraId="5D66C2F9" w14:textId="3744BCD0" w:rsidR="00B85857" w:rsidRPr="00C847C8" w:rsidRDefault="00B85857" w:rsidP="00B85857">
      <w:pPr>
        <w:spacing w:after="0" w:line="276" w:lineRule="auto"/>
        <w:ind w:firstLine="0"/>
        <w:jc w:val="center"/>
        <w:rPr>
          <w:b/>
          <w:noProof/>
          <w:lang w:eastAsia="en-CA"/>
        </w:rPr>
      </w:pPr>
      <w:r w:rsidRPr="00C847C8">
        <w:rPr>
          <w:b/>
          <w:noProof/>
          <w:lang w:eastAsia="en-CA"/>
        </w:rPr>
        <w:lastRenderedPageBreak/>
        <w:drawing>
          <wp:inline distT="0" distB="0" distL="0" distR="0" wp14:anchorId="6297C533" wp14:editId="458B056C">
            <wp:extent cx="5760000" cy="2344494"/>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760000" cy="2344494"/>
                    </a:xfrm>
                    <a:prstGeom prst="rect">
                      <a:avLst/>
                    </a:prstGeom>
                    <a:noFill/>
                  </pic:spPr>
                </pic:pic>
              </a:graphicData>
            </a:graphic>
          </wp:inline>
        </w:drawing>
      </w:r>
    </w:p>
    <w:p w14:paraId="4A52B933" w14:textId="78E1027D" w:rsidR="00B85857" w:rsidRPr="00C847C8" w:rsidRDefault="00B85857" w:rsidP="00B85857">
      <w:pPr>
        <w:spacing w:line="276" w:lineRule="auto"/>
        <w:ind w:left="1276" w:hanging="1276"/>
        <w:jc w:val="left"/>
        <w:rPr>
          <w:i/>
          <w:noProof/>
          <w:lang w:eastAsia="en-CA"/>
        </w:rPr>
      </w:pPr>
      <w:r w:rsidRPr="00C847C8">
        <w:rPr>
          <w:b/>
          <w:i/>
          <w:noProof/>
          <w:lang w:eastAsia="en-CA"/>
        </w:rPr>
        <w:t>Figure S1.</w:t>
      </w:r>
      <w:r w:rsidRPr="00C847C8">
        <w:rPr>
          <w:b/>
          <w:i/>
          <w:noProof/>
          <w:lang w:eastAsia="en-CA"/>
        </w:rPr>
        <w:tab/>
      </w:r>
      <w:r w:rsidRPr="00C847C8">
        <w:rPr>
          <w:i/>
          <w:noProof/>
          <w:lang w:eastAsia="en-CA"/>
        </w:rPr>
        <w:t xml:space="preserve">Transmission electronic micrograph of In@(RB) NPs </w:t>
      </w:r>
      <w:r w:rsidR="0081473C" w:rsidRPr="00C847C8">
        <w:rPr>
          <w:i/>
          <w:noProof/>
          <w:lang w:eastAsia="en-CA"/>
        </w:rPr>
        <w:t xml:space="preserve">(indium cores: 70±20 nm, silica shell: 5.1±0.3 nm) </w:t>
      </w:r>
      <w:r w:rsidRPr="00C847C8">
        <w:rPr>
          <w:i/>
          <w:noProof/>
          <w:lang w:eastAsia="en-CA"/>
        </w:rPr>
        <w:t xml:space="preserve">and corresponding size distribution histogram for </w:t>
      </w:r>
      <w:r w:rsidR="0081473C" w:rsidRPr="00C847C8">
        <w:rPr>
          <w:i/>
          <w:noProof/>
          <w:lang w:eastAsia="en-CA"/>
        </w:rPr>
        <w:t>the</w:t>
      </w:r>
      <w:r w:rsidRPr="00C847C8">
        <w:rPr>
          <w:i/>
          <w:noProof/>
          <w:lang w:eastAsia="en-CA"/>
        </w:rPr>
        <w:t xml:space="preserve"> In cores.</w:t>
      </w:r>
    </w:p>
    <w:p w14:paraId="68455441" w14:textId="57AC1CCF" w:rsidR="008A6D5C" w:rsidRPr="00C847C8" w:rsidRDefault="008A6D5C" w:rsidP="00B85857">
      <w:pPr>
        <w:spacing w:line="276" w:lineRule="auto"/>
        <w:ind w:left="1276" w:hanging="1276"/>
        <w:jc w:val="left"/>
        <w:rPr>
          <w:i/>
          <w:noProof/>
          <w:lang w:eastAsia="en-CA"/>
        </w:rPr>
      </w:pPr>
    </w:p>
    <w:p w14:paraId="6277167B" w14:textId="4CC41C57" w:rsidR="00E8717F" w:rsidRPr="00C847C8" w:rsidRDefault="00E8717F" w:rsidP="00A97C3D">
      <w:pPr>
        <w:spacing w:line="276" w:lineRule="auto"/>
        <w:ind w:firstLine="0"/>
        <w:rPr>
          <w:i/>
          <w:noProof/>
          <w:lang w:eastAsia="en-CA"/>
        </w:rPr>
      </w:pPr>
      <w:bookmarkStart w:id="0" w:name="_GoBack"/>
      <w:bookmarkEnd w:id="0"/>
    </w:p>
    <w:p w14:paraId="7394F09E" w14:textId="287F78FA" w:rsidR="00F37637" w:rsidRPr="00C847C8" w:rsidRDefault="00A97C3D" w:rsidP="000318B9">
      <w:pPr>
        <w:spacing w:line="276" w:lineRule="auto"/>
        <w:ind w:left="1276" w:hanging="1276"/>
        <w:jc w:val="center"/>
        <w:rPr>
          <w:i/>
          <w:noProof/>
          <w:lang w:eastAsia="en-CA"/>
        </w:rPr>
      </w:pPr>
      <w:r>
        <w:rPr>
          <w:i/>
          <w:noProof/>
          <w:lang w:eastAsia="en-CA"/>
        </w:rPr>
        <w:drawing>
          <wp:inline distT="0" distB="0" distL="0" distR="0" wp14:anchorId="64E3EE08" wp14:editId="45AD681A">
            <wp:extent cx="5206365" cy="41332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6365" cy="4133215"/>
                    </a:xfrm>
                    <a:prstGeom prst="rect">
                      <a:avLst/>
                    </a:prstGeom>
                    <a:noFill/>
                  </pic:spPr>
                </pic:pic>
              </a:graphicData>
            </a:graphic>
          </wp:inline>
        </w:drawing>
      </w:r>
    </w:p>
    <w:p w14:paraId="3B753B02" w14:textId="672B09A2" w:rsidR="00E8717F" w:rsidRPr="00C847C8" w:rsidRDefault="00E8717F" w:rsidP="00B85857">
      <w:pPr>
        <w:spacing w:line="276" w:lineRule="auto"/>
        <w:ind w:left="1276" w:hanging="1276"/>
        <w:jc w:val="left"/>
        <w:rPr>
          <w:i/>
        </w:rPr>
      </w:pPr>
      <w:r w:rsidRPr="00C847C8">
        <w:rPr>
          <w:b/>
          <w:i/>
          <w:noProof/>
          <w:lang w:eastAsia="en-CA"/>
        </w:rPr>
        <w:t>Figure S2</w:t>
      </w:r>
      <w:r w:rsidRPr="00C847C8">
        <w:rPr>
          <w:i/>
          <w:noProof/>
          <w:lang w:eastAsia="en-CA"/>
        </w:rPr>
        <w:t>.</w:t>
      </w:r>
      <w:r w:rsidR="00340DDF" w:rsidRPr="00C847C8">
        <w:rPr>
          <w:i/>
          <w:noProof/>
          <w:lang w:eastAsia="en-CA"/>
        </w:rPr>
        <w:tab/>
        <w:t>Transmission electronic micrograph of In@(RB)@(FL)@MQ with different silica spacer thickness</w:t>
      </w:r>
      <w:r w:rsidR="00B862D0" w:rsidRPr="00C847C8">
        <w:rPr>
          <w:i/>
          <w:noProof/>
          <w:lang w:eastAsia="en-CA"/>
        </w:rPr>
        <w:t xml:space="preserve"> (A: 10.8±0.9 nm, B: 20±</w:t>
      </w:r>
      <w:r w:rsidR="00991BD9" w:rsidRPr="00C847C8">
        <w:rPr>
          <w:i/>
          <w:noProof/>
          <w:lang w:eastAsia="en-CA"/>
        </w:rPr>
        <w:t>1 nm, C</w:t>
      </w:r>
      <w:r w:rsidR="00B862D0" w:rsidRPr="00C847C8">
        <w:rPr>
          <w:i/>
          <w:noProof/>
          <w:lang w:eastAsia="en-CA"/>
        </w:rPr>
        <w:t xml:space="preserve">: 41±1 nm). </w:t>
      </w:r>
    </w:p>
    <w:p w14:paraId="61B1801F" w14:textId="21EBCBFC" w:rsidR="00B85857" w:rsidRPr="00C847C8" w:rsidRDefault="00B85857" w:rsidP="00B85857">
      <w:pPr>
        <w:spacing w:after="0" w:line="276" w:lineRule="auto"/>
        <w:ind w:left="1276" w:hanging="1276"/>
        <w:jc w:val="center"/>
        <w:rPr>
          <w:b/>
          <w:noProof/>
          <w:lang w:eastAsia="en-CA"/>
        </w:rPr>
      </w:pPr>
    </w:p>
    <w:p w14:paraId="718D0325" w14:textId="4AF2E060" w:rsidR="00B85857" w:rsidRPr="00C847C8" w:rsidRDefault="00B85857" w:rsidP="00B85857">
      <w:pPr>
        <w:spacing w:after="0" w:line="276" w:lineRule="auto"/>
        <w:ind w:left="1276" w:hanging="1276"/>
        <w:jc w:val="center"/>
        <w:rPr>
          <w:b/>
          <w:i/>
          <w:noProof/>
          <w:lang w:eastAsia="en-CA"/>
        </w:rPr>
      </w:pPr>
      <w:r w:rsidRPr="00C847C8">
        <w:rPr>
          <w:b/>
          <w:i/>
          <w:noProof/>
          <w:lang w:eastAsia="en-CA"/>
        </w:rPr>
        <w:lastRenderedPageBreak/>
        <w:drawing>
          <wp:inline distT="0" distB="0" distL="0" distR="0" wp14:anchorId="554176D9" wp14:editId="4B795506">
            <wp:extent cx="3460162" cy="28800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460162" cy="2880000"/>
                    </a:xfrm>
                    <a:prstGeom prst="rect">
                      <a:avLst/>
                    </a:prstGeom>
                    <a:noFill/>
                  </pic:spPr>
                </pic:pic>
              </a:graphicData>
            </a:graphic>
          </wp:inline>
        </w:drawing>
      </w:r>
    </w:p>
    <w:p w14:paraId="49BE9322" w14:textId="0C4D15FD" w:rsidR="00B85857" w:rsidRPr="00C847C8" w:rsidRDefault="00B85857" w:rsidP="00B85857">
      <w:pPr>
        <w:spacing w:line="276" w:lineRule="auto"/>
        <w:ind w:left="1276" w:hanging="1276"/>
        <w:jc w:val="left"/>
        <w:rPr>
          <w:i/>
          <w:noProof/>
          <w:lang w:eastAsia="en-CA"/>
        </w:rPr>
      </w:pPr>
      <w:r w:rsidRPr="00C847C8">
        <w:rPr>
          <w:b/>
          <w:i/>
          <w:noProof/>
          <w:lang w:eastAsia="en-CA"/>
        </w:rPr>
        <w:t xml:space="preserve"> Figure S3.</w:t>
      </w:r>
      <w:r w:rsidRPr="00C847C8">
        <w:rPr>
          <w:b/>
          <w:i/>
          <w:noProof/>
          <w:lang w:eastAsia="en-CA"/>
        </w:rPr>
        <w:tab/>
      </w:r>
      <w:r w:rsidRPr="00C847C8">
        <w:rPr>
          <w:i/>
          <w:noProof/>
          <w:lang w:eastAsia="en-CA"/>
        </w:rPr>
        <w:t>Modulation of the second silica shell through variation in TEOS concentration during the Stöber reaction</w:t>
      </w:r>
      <w:r w:rsidR="00A47734" w:rsidRPr="00C847C8">
        <w:rPr>
          <w:i/>
          <w:noProof/>
          <w:lang w:eastAsia="en-CA"/>
        </w:rPr>
        <w:t>.</w:t>
      </w:r>
      <w:r w:rsidRPr="00C847C8">
        <w:rPr>
          <w:i/>
          <w:noProof/>
          <w:lang w:eastAsia="en-CA"/>
        </w:rPr>
        <w:t xml:space="preserve"> </w:t>
      </w:r>
    </w:p>
    <w:p w14:paraId="0A3121C1" w14:textId="77777777" w:rsidR="00B85857" w:rsidRPr="00C847C8" w:rsidRDefault="00B85857" w:rsidP="00B85857">
      <w:pPr>
        <w:spacing w:line="276" w:lineRule="auto"/>
        <w:ind w:left="1276" w:hanging="1276"/>
        <w:jc w:val="left"/>
        <w:rPr>
          <w:i/>
          <w:noProof/>
          <w:lang w:eastAsia="en-CA"/>
        </w:rPr>
      </w:pPr>
    </w:p>
    <w:p w14:paraId="1E945D99" w14:textId="77777777" w:rsidR="00B85857" w:rsidRPr="00C847C8" w:rsidRDefault="00B85857" w:rsidP="00B85857">
      <w:pPr>
        <w:spacing w:line="276" w:lineRule="auto"/>
        <w:ind w:left="1276" w:hanging="1276"/>
        <w:jc w:val="left"/>
        <w:rPr>
          <w:i/>
          <w:noProof/>
          <w:lang w:eastAsia="en-CA"/>
        </w:rPr>
      </w:pPr>
    </w:p>
    <w:p w14:paraId="6F427EB6" w14:textId="3477E646" w:rsidR="00B85857" w:rsidRPr="00C847C8" w:rsidRDefault="007A58A7" w:rsidP="00B85857">
      <w:pPr>
        <w:spacing w:after="0" w:line="240" w:lineRule="auto"/>
        <w:ind w:firstLine="284"/>
        <w:jc w:val="center"/>
      </w:pPr>
      <w:r w:rsidRPr="00C847C8">
        <w:rPr>
          <w:noProof/>
          <w:lang w:eastAsia="en-CA"/>
        </w:rPr>
        <w:drawing>
          <wp:inline distT="0" distB="0" distL="0" distR="0" wp14:anchorId="2BF908FA" wp14:editId="004B3AC1">
            <wp:extent cx="3981667" cy="3060000"/>
            <wp:effectExtent l="0" t="0" r="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667" cy="3060000"/>
                    </a:xfrm>
                    <a:prstGeom prst="rect">
                      <a:avLst/>
                    </a:prstGeom>
                    <a:noFill/>
                  </pic:spPr>
                </pic:pic>
              </a:graphicData>
            </a:graphic>
          </wp:inline>
        </w:drawing>
      </w:r>
    </w:p>
    <w:p w14:paraId="65040D84" w14:textId="77777777" w:rsidR="00B85857" w:rsidRPr="00C847C8" w:rsidRDefault="00B85857" w:rsidP="00B85857">
      <w:pPr>
        <w:spacing w:line="276" w:lineRule="auto"/>
        <w:ind w:left="1276" w:hanging="1276"/>
        <w:rPr>
          <w:i/>
        </w:rPr>
      </w:pPr>
      <w:r w:rsidRPr="00C847C8">
        <w:rPr>
          <w:b/>
          <w:i/>
          <w:noProof/>
          <w:lang w:eastAsia="en-CA"/>
        </w:rPr>
        <w:t>Figure S4.</w:t>
      </w:r>
      <w:r w:rsidRPr="00C847C8">
        <w:rPr>
          <w:b/>
          <w:i/>
          <w:noProof/>
          <w:lang w:eastAsia="en-CA"/>
        </w:rPr>
        <w:tab/>
      </w:r>
      <w:r w:rsidRPr="00C847C8">
        <w:rPr>
          <w:i/>
          <w:noProof/>
          <w:lang w:eastAsia="en-CA"/>
        </w:rPr>
        <w:t>Values of fluorescence intensity enhancement (λ</w:t>
      </w:r>
      <w:r w:rsidRPr="00C847C8">
        <w:rPr>
          <w:i/>
          <w:noProof/>
          <w:vertAlign w:val="subscript"/>
          <w:lang w:eastAsia="en-CA"/>
        </w:rPr>
        <w:t>ex</w:t>
      </w:r>
      <w:r w:rsidRPr="00C847C8">
        <w:rPr>
          <w:i/>
          <w:noProof/>
          <w:lang w:eastAsia="en-CA"/>
        </w:rPr>
        <w:t xml:space="preserve"> = 340 nm, λ</w:t>
      </w:r>
      <w:r w:rsidRPr="00C847C8">
        <w:rPr>
          <w:i/>
          <w:noProof/>
          <w:vertAlign w:val="subscript"/>
          <w:lang w:eastAsia="en-CA"/>
        </w:rPr>
        <w:t>em</w:t>
      </w:r>
      <w:r w:rsidRPr="00C847C8">
        <w:rPr>
          <w:i/>
          <w:noProof/>
          <w:lang w:eastAsia="en-CA"/>
        </w:rPr>
        <w:t xml:space="preserve"> = 440 nm) and lifetime (λ</w:t>
      </w:r>
      <w:r w:rsidRPr="00C847C8">
        <w:rPr>
          <w:i/>
          <w:noProof/>
          <w:vertAlign w:val="subscript"/>
          <w:lang w:eastAsia="en-CA"/>
        </w:rPr>
        <w:t>ex</w:t>
      </w:r>
      <w:r w:rsidRPr="00C847C8">
        <w:rPr>
          <w:i/>
          <w:noProof/>
          <w:lang w:eastAsia="en-CA"/>
        </w:rPr>
        <w:t xml:space="preserve"> = 308 nm) for MQ in In@(RB)@SiO</w:t>
      </w:r>
      <w:r w:rsidRPr="00C847C8">
        <w:rPr>
          <w:i/>
          <w:noProof/>
          <w:vertAlign w:val="subscript"/>
          <w:lang w:eastAsia="en-CA"/>
        </w:rPr>
        <w:t>2</w:t>
      </w:r>
      <w:r w:rsidRPr="00C847C8">
        <w:rPr>
          <w:i/>
          <w:noProof/>
          <w:lang w:eastAsia="en-CA"/>
        </w:rPr>
        <w:t>@MQ architectures as a function of spacer thickness.</w:t>
      </w:r>
    </w:p>
    <w:p w14:paraId="5ACF52A6" w14:textId="70590277" w:rsidR="00ED368C" w:rsidRPr="00C847C8" w:rsidRDefault="00ED368C" w:rsidP="00BD354D">
      <w:pPr>
        <w:spacing w:line="276" w:lineRule="auto"/>
        <w:ind w:firstLine="0"/>
        <w:rPr>
          <w:i/>
        </w:rPr>
      </w:pPr>
    </w:p>
    <w:p w14:paraId="12D8A79A" w14:textId="6CB5EE11" w:rsidR="00B85857" w:rsidRPr="00C847C8" w:rsidRDefault="003F15CC" w:rsidP="00B85857">
      <w:pPr>
        <w:spacing w:after="0" w:line="276" w:lineRule="auto"/>
        <w:ind w:firstLine="284"/>
        <w:jc w:val="center"/>
        <w:rPr>
          <w:noProof/>
          <w:lang w:eastAsia="en-CA"/>
        </w:rPr>
      </w:pPr>
      <w:r w:rsidRPr="00C847C8">
        <w:rPr>
          <w:noProof/>
          <w:lang w:eastAsia="en-CA"/>
        </w:rPr>
        <w:lastRenderedPageBreak/>
        <w:drawing>
          <wp:inline distT="0" distB="0" distL="0" distR="0" wp14:anchorId="1A7AEEC0" wp14:editId="0504BD0C">
            <wp:extent cx="3459899" cy="2880000"/>
            <wp:effectExtent l="0" t="0" r="762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3"/>
                    <a:stretch>
                      <a:fillRect/>
                    </a:stretch>
                  </pic:blipFill>
                  <pic:spPr>
                    <a:xfrm>
                      <a:off x="0" y="0"/>
                      <a:ext cx="3459899" cy="2880000"/>
                    </a:xfrm>
                    <a:prstGeom prst="rect">
                      <a:avLst/>
                    </a:prstGeom>
                  </pic:spPr>
                </pic:pic>
              </a:graphicData>
            </a:graphic>
          </wp:inline>
        </w:drawing>
      </w:r>
    </w:p>
    <w:p w14:paraId="1CA27366" w14:textId="6255773B" w:rsidR="00B85857" w:rsidRPr="00C847C8" w:rsidRDefault="00B85857" w:rsidP="00B85857">
      <w:pPr>
        <w:spacing w:after="0" w:line="276" w:lineRule="auto"/>
        <w:ind w:left="1560" w:hanging="1276"/>
        <w:rPr>
          <w:b/>
          <w:i/>
          <w:noProof/>
          <w:lang w:eastAsia="en-CA"/>
        </w:rPr>
      </w:pPr>
      <w:r w:rsidRPr="00C847C8">
        <w:rPr>
          <w:b/>
          <w:i/>
          <w:noProof/>
          <w:lang w:eastAsia="en-CA"/>
        </w:rPr>
        <w:t>Figure S5. </w:t>
      </w:r>
      <w:r w:rsidRPr="00C847C8">
        <w:rPr>
          <w:b/>
          <w:i/>
          <w:noProof/>
          <w:lang w:eastAsia="en-CA"/>
        </w:rPr>
        <w:tab/>
      </w:r>
      <w:r w:rsidRPr="00C847C8">
        <w:rPr>
          <w:i/>
          <w:noProof/>
          <w:lang w:eastAsia="en-CA"/>
        </w:rPr>
        <w:t>Zeta potential values for In@(RB)@SiO</w:t>
      </w:r>
      <w:r w:rsidRPr="00C847C8">
        <w:rPr>
          <w:i/>
          <w:noProof/>
          <w:vertAlign w:val="subscript"/>
          <w:lang w:eastAsia="en-CA"/>
        </w:rPr>
        <w:t>2</w:t>
      </w:r>
      <w:r w:rsidRPr="00C847C8">
        <w:rPr>
          <w:i/>
          <w:noProof/>
          <w:lang w:eastAsia="en-CA"/>
        </w:rPr>
        <w:t xml:space="preserve"> architectures </w:t>
      </w:r>
      <w:r w:rsidR="00DD40C0" w:rsidRPr="00C847C8">
        <w:rPr>
          <w:i/>
          <w:noProof/>
          <w:lang w:eastAsia="en-CA"/>
        </w:rPr>
        <w:t xml:space="preserve">in nanopure water </w:t>
      </w:r>
      <w:r w:rsidRPr="00C847C8">
        <w:rPr>
          <w:i/>
          <w:noProof/>
          <w:lang w:eastAsia="en-CA"/>
        </w:rPr>
        <w:t>before and after the binding reaction of silanized MQ.</w:t>
      </w:r>
    </w:p>
    <w:p w14:paraId="2DF8D318" w14:textId="77777777" w:rsidR="00ED368C" w:rsidRPr="00C847C8" w:rsidRDefault="00ED368C" w:rsidP="0003083B">
      <w:pPr>
        <w:spacing w:line="276" w:lineRule="auto"/>
        <w:ind w:left="1276" w:hanging="1276"/>
        <w:jc w:val="center"/>
        <w:rPr>
          <w:i/>
        </w:rPr>
      </w:pPr>
    </w:p>
    <w:p w14:paraId="0A6098C7" w14:textId="77777777" w:rsidR="00B85857" w:rsidRPr="00C847C8" w:rsidRDefault="00B85857" w:rsidP="0003083B">
      <w:pPr>
        <w:spacing w:line="276" w:lineRule="auto"/>
        <w:ind w:left="1276" w:hanging="1276"/>
        <w:jc w:val="center"/>
        <w:rPr>
          <w:i/>
        </w:rPr>
      </w:pPr>
    </w:p>
    <w:p w14:paraId="43AB88F5" w14:textId="77777777" w:rsidR="00B85857" w:rsidRPr="00C847C8" w:rsidRDefault="00B85857" w:rsidP="0003083B">
      <w:pPr>
        <w:spacing w:line="276" w:lineRule="auto"/>
        <w:ind w:left="1276" w:hanging="1276"/>
        <w:jc w:val="center"/>
        <w:rPr>
          <w:i/>
        </w:rPr>
      </w:pPr>
    </w:p>
    <w:p w14:paraId="601C9D93" w14:textId="665D430F" w:rsidR="00F42068" w:rsidRPr="00C847C8" w:rsidRDefault="00894A2D" w:rsidP="0003083B">
      <w:pPr>
        <w:spacing w:line="276" w:lineRule="auto"/>
        <w:ind w:left="1276" w:hanging="1276"/>
        <w:jc w:val="center"/>
        <w:rPr>
          <w:i/>
        </w:rPr>
      </w:pPr>
      <w:r w:rsidRPr="00C847C8">
        <w:rPr>
          <w:i/>
          <w:noProof/>
          <w:lang w:eastAsia="en-CA"/>
        </w:rPr>
        <w:drawing>
          <wp:inline distT="0" distB="0" distL="0" distR="0" wp14:anchorId="24C1446F" wp14:editId="5EA8C9D6">
            <wp:extent cx="5760000" cy="2437717"/>
            <wp:effectExtent l="0" t="0" r="0" b="127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437717"/>
                    </a:xfrm>
                    <a:prstGeom prst="rect">
                      <a:avLst/>
                    </a:prstGeom>
                    <a:noFill/>
                  </pic:spPr>
                </pic:pic>
              </a:graphicData>
            </a:graphic>
          </wp:inline>
        </w:drawing>
      </w:r>
    </w:p>
    <w:p w14:paraId="44D5F0D6" w14:textId="77777777" w:rsidR="00F42068" w:rsidRPr="00C847C8" w:rsidRDefault="00F42068" w:rsidP="000111B2">
      <w:pPr>
        <w:spacing w:after="0" w:line="276" w:lineRule="auto"/>
        <w:ind w:firstLine="284"/>
        <w:jc w:val="center"/>
        <w:rPr>
          <w:noProof/>
          <w:lang w:eastAsia="en-CA"/>
        </w:rPr>
      </w:pPr>
    </w:p>
    <w:p w14:paraId="34BAF3CA" w14:textId="5AC59F11" w:rsidR="00274D9F" w:rsidRPr="00C847C8" w:rsidRDefault="00274D9F" w:rsidP="00E10FEB">
      <w:pPr>
        <w:spacing w:after="0" w:line="276" w:lineRule="auto"/>
        <w:ind w:left="1560" w:hanging="1276"/>
        <w:jc w:val="left"/>
        <w:rPr>
          <w:b/>
          <w:i/>
          <w:noProof/>
          <w:lang w:eastAsia="en-CA"/>
        </w:rPr>
      </w:pPr>
      <w:r w:rsidRPr="00C847C8">
        <w:rPr>
          <w:b/>
          <w:i/>
          <w:noProof/>
          <w:lang w:eastAsia="en-CA"/>
        </w:rPr>
        <w:t>Figure S</w:t>
      </w:r>
      <w:r w:rsidR="00E8717F" w:rsidRPr="00C847C8">
        <w:rPr>
          <w:b/>
          <w:i/>
          <w:noProof/>
          <w:lang w:eastAsia="en-CA"/>
        </w:rPr>
        <w:t>6</w:t>
      </w:r>
      <w:r w:rsidRPr="00C847C8">
        <w:rPr>
          <w:b/>
          <w:i/>
          <w:noProof/>
          <w:lang w:eastAsia="en-CA"/>
        </w:rPr>
        <w:t>. </w:t>
      </w:r>
      <w:r w:rsidRPr="00C847C8">
        <w:rPr>
          <w:b/>
          <w:i/>
          <w:noProof/>
          <w:lang w:eastAsia="en-CA"/>
        </w:rPr>
        <w:tab/>
      </w:r>
      <w:r w:rsidRPr="00C847C8">
        <w:rPr>
          <w:i/>
          <w:noProof/>
          <w:lang w:eastAsia="en-CA"/>
        </w:rPr>
        <w:t xml:space="preserve">Stern-Volmer </w:t>
      </w:r>
      <w:r w:rsidR="0003083B" w:rsidRPr="00C847C8">
        <w:rPr>
          <w:i/>
          <w:noProof/>
          <w:lang w:eastAsia="en-CA"/>
        </w:rPr>
        <w:t>constant values</w:t>
      </w:r>
      <w:r w:rsidRPr="00C847C8">
        <w:rPr>
          <w:i/>
          <w:noProof/>
          <w:lang w:eastAsia="en-CA"/>
        </w:rPr>
        <w:t xml:space="preserve"> </w:t>
      </w:r>
      <w:r w:rsidR="0003083B" w:rsidRPr="00C847C8">
        <w:rPr>
          <w:i/>
          <w:noProof/>
          <w:lang w:eastAsia="en-CA"/>
        </w:rPr>
        <w:t>for</w:t>
      </w:r>
      <w:r w:rsidRPr="00C847C8">
        <w:rPr>
          <w:i/>
          <w:noProof/>
          <w:lang w:eastAsia="en-CA"/>
        </w:rPr>
        <w:t xml:space="preserve"> </w:t>
      </w:r>
      <w:r w:rsidR="00DF4DB2">
        <w:rPr>
          <w:i/>
          <w:noProof/>
          <w:lang w:eastAsia="en-CA"/>
        </w:rPr>
        <w:t xml:space="preserve">molecular </w:t>
      </w:r>
      <w:r w:rsidR="00180B1B" w:rsidRPr="00C847C8">
        <w:rPr>
          <w:i/>
          <w:noProof/>
          <w:lang w:eastAsia="en-CA"/>
        </w:rPr>
        <w:t>MQ (A) and RB (B) in the presence of chloride (blue), bromide (red) and iodide (y</w:t>
      </w:r>
      <w:r w:rsidR="00C411A3">
        <w:rPr>
          <w:i/>
          <w:noProof/>
          <w:lang w:eastAsia="en-CA"/>
        </w:rPr>
        <w:t>ellow). The concentration was 1</w:t>
      </w:r>
      <w:r w:rsidR="00180B1B" w:rsidRPr="00C847C8">
        <w:rPr>
          <w:i/>
          <w:noProof/>
          <w:lang w:eastAsia="en-CA"/>
        </w:rPr>
        <w:t>×10</w:t>
      </w:r>
      <w:r w:rsidR="00180B1B" w:rsidRPr="00C847C8">
        <w:rPr>
          <w:i/>
          <w:noProof/>
          <w:vertAlign w:val="superscript"/>
          <w:lang w:eastAsia="en-CA"/>
        </w:rPr>
        <w:t>-6</w:t>
      </w:r>
      <w:r w:rsidR="00180B1B" w:rsidRPr="00C847C8">
        <w:rPr>
          <w:i/>
          <w:noProof/>
          <w:lang w:eastAsia="en-CA"/>
        </w:rPr>
        <w:t xml:space="preserve"> M for MQ and RB.</w:t>
      </w:r>
    </w:p>
    <w:p w14:paraId="677FC7F4" w14:textId="77777777" w:rsidR="00C12003" w:rsidRPr="00C847C8" w:rsidRDefault="00C12003" w:rsidP="000111B2">
      <w:pPr>
        <w:spacing w:after="0" w:line="276" w:lineRule="auto"/>
        <w:ind w:firstLine="284"/>
        <w:jc w:val="center"/>
        <w:rPr>
          <w:noProof/>
          <w:lang w:eastAsia="en-CA"/>
        </w:rPr>
      </w:pPr>
    </w:p>
    <w:p w14:paraId="2CDB0DF5" w14:textId="77777777" w:rsidR="0086603B" w:rsidRPr="00C847C8" w:rsidRDefault="0086603B" w:rsidP="006A1BA8">
      <w:pPr>
        <w:spacing w:line="276" w:lineRule="auto"/>
        <w:ind w:left="1276" w:hanging="1276"/>
        <w:jc w:val="center"/>
        <w:rPr>
          <w:i/>
        </w:rPr>
      </w:pPr>
    </w:p>
    <w:p w14:paraId="334458CC" w14:textId="2F561A34" w:rsidR="006A1BA8" w:rsidRPr="00C847C8" w:rsidRDefault="004E41A2" w:rsidP="006A1BA8">
      <w:pPr>
        <w:spacing w:line="276" w:lineRule="auto"/>
        <w:ind w:left="1276" w:hanging="1276"/>
        <w:jc w:val="center"/>
        <w:rPr>
          <w:i/>
        </w:rPr>
      </w:pPr>
      <w:r w:rsidRPr="00C847C8">
        <w:rPr>
          <w:i/>
          <w:noProof/>
          <w:lang w:eastAsia="en-CA"/>
        </w:rPr>
        <w:lastRenderedPageBreak/>
        <w:drawing>
          <wp:inline distT="0" distB="0" distL="0" distR="0" wp14:anchorId="3310F1D5" wp14:editId="20EFD696">
            <wp:extent cx="3454075" cy="28800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4075" cy="2880000"/>
                    </a:xfrm>
                    <a:prstGeom prst="rect">
                      <a:avLst/>
                    </a:prstGeom>
                    <a:noFill/>
                  </pic:spPr>
                </pic:pic>
              </a:graphicData>
            </a:graphic>
          </wp:inline>
        </w:drawing>
      </w:r>
    </w:p>
    <w:p w14:paraId="64142C8E" w14:textId="659494AA" w:rsidR="00685EF9" w:rsidRPr="00C847C8" w:rsidRDefault="006A1BA8" w:rsidP="00685EF9">
      <w:pPr>
        <w:spacing w:after="0" w:line="276" w:lineRule="auto"/>
        <w:ind w:left="1560" w:hanging="1276"/>
        <w:rPr>
          <w:b/>
          <w:i/>
          <w:noProof/>
          <w:lang w:eastAsia="en-CA"/>
        </w:rPr>
      </w:pPr>
      <w:r w:rsidRPr="00C847C8">
        <w:rPr>
          <w:b/>
          <w:i/>
          <w:noProof/>
          <w:lang w:eastAsia="en-CA"/>
        </w:rPr>
        <w:t>Figure S</w:t>
      </w:r>
      <w:r w:rsidR="00E8717F" w:rsidRPr="00C847C8">
        <w:rPr>
          <w:b/>
          <w:i/>
          <w:noProof/>
          <w:lang w:eastAsia="en-CA"/>
        </w:rPr>
        <w:t>7</w:t>
      </w:r>
      <w:r w:rsidRPr="00C847C8">
        <w:rPr>
          <w:b/>
          <w:i/>
          <w:noProof/>
          <w:lang w:eastAsia="en-CA"/>
        </w:rPr>
        <w:t>. </w:t>
      </w:r>
      <w:r w:rsidRPr="00C847C8">
        <w:rPr>
          <w:b/>
          <w:i/>
          <w:noProof/>
          <w:lang w:eastAsia="en-CA"/>
        </w:rPr>
        <w:tab/>
      </w:r>
      <w:r w:rsidR="00685EF9" w:rsidRPr="00C847C8">
        <w:rPr>
          <w:i/>
          <w:noProof/>
          <w:lang w:eastAsia="en-CA"/>
        </w:rPr>
        <w:t>Excited state lifetime values measured for Rhodamine B (RB) and fluorescein (FL) in In@(RB)@(FL) and in solution (λ</w:t>
      </w:r>
      <w:r w:rsidR="00685EF9" w:rsidRPr="00C847C8">
        <w:rPr>
          <w:i/>
          <w:noProof/>
          <w:vertAlign w:val="subscript"/>
          <w:lang w:eastAsia="en-CA"/>
        </w:rPr>
        <w:t>ex</w:t>
      </w:r>
      <w:r w:rsidR="00685EF9" w:rsidRPr="00C847C8">
        <w:rPr>
          <w:i/>
          <w:noProof/>
          <w:lang w:eastAsia="en-CA"/>
        </w:rPr>
        <w:t>=488 nm). The concentration was 1 × 10</w:t>
      </w:r>
      <w:r w:rsidR="00685EF9" w:rsidRPr="00C847C8">
        <w:rPr>
          <w:i/>
          <w:noProof/>
          <w:vertAlign w:val="superscript"/>
          <w:lang w:eastAsia="en-CA"/>
        </w:rPr>
        <w:t>-6</w:t>
      </w:r>
      <w:r w:rsidR="00F467C0" w:rsidRPr="00C847C8">
        <w:rPr>
          <w:i/>
          <w:noProof/>
          <w:lang w:eastAsia="en-CA"/>
        </w:rPr>
        <w:t xml:space="preserve"> M for RB and FL. F</w:t>
      </w:r>
      <w:r w:rsidR="00685EF9" w:rsidRPr="00C847C8">
        <w:rPr>
          <w:i/>
          <w:noProof/>
          <w:lang w:eastAsia="en-CA"/>
        </w:rPr>
        <w:t>luorophores were excited at 488 nm and fluorescence emission was measured at 580 nm (RB) and 520 nm (FL).</w:t>
      </w:r>
    </w:p>
    <w:p w14:paraId="600F4860" w14:textId="39C7AFFE" w:rsidR="006A1BA8" w:rsidRPr="00C847C8" w:rsidRDefault="006A1BA8" w:rsidP="006A1BA8">
      <w:pPr>
        <w:spacing w:after="0" w:line="276" w:lineRule="auto"/>
        <w:ind w:left="1560" w:hanging="1276"/>
        <w:jc w:val="left"/>
        <w:rPr>
          <w:i/>
          <w:noProof/>
          <w:lang w:eastAsia="en-CA"/>
        </w:rPr>
      </w:pPr>
    </w:p>
    <w:p w14:paraId="069C3FB3" w14:textId="77777777" w:rsidR="006A1BA8" w:rsidRPr="00C847C8" w:rsidRDefault="006A1BA8" w:rsidP="000111B2">
      <w:pPr>
        <w:spacing w:after="0" w:line="276" w:lineRule="auto"/>
        <w:ind w:firstLine="284"/>
        <w:jc w:val="center"/>
        <w:rPr>
          <w:noProof/>
          <w:lang w:eastAsia="en-CA"/>
        </w:rPr>
      </w:pPr>
    </w:p>
    <w:p w14:paraId="2C26D0D4" w14:textId="77777777" w:rsidR="00C12003" w:rsidRPr="00C847C8" w:rsidRDefault="00C12003" w:rsidP="000111B2">
      <w:pPr>
        <w:spacing w:after="0" w:line="276" w:lineRule="auto"/>
        <w:ind w:firstLine="284"/>
        <w:jc w:val="center"/>
        <w:rPr>
          <w:noProof/>
          <w:lang w:eastAsia="en-CA"/>
        </w:rPr>
      </w:pPr>
    </w:p>
    <w:p w14:paraId="4C7200B6" w14:textId="3B065319" w:rsidR="000111B2" w:rsidRPr="00C847C8" w:rsidRDefault="000111B2" w:rsidP="003528B1">
      <w:pPr>
        <w:pStyle w:val="Sansinterligne"/>
        <w:ind w:left="0" w:firstLine="0"/>
        <w:rPr>
          <w:i w:val="0"/>
        </w:rPr>
      </w:pPr>
    </w:p>
    <w:p w14:paraId="4C9222F4" w14:textId="77777777" w:rsidR="000111B2" w:rsidRPr="00C847C8" w:rsidRDefault="000111B2" w:rsidP="000111B2">
      <w:pPr>
        <w:pStyle w:val="Sansinterligne"/>
        <w:rPr>
          <w:i w:val="0"/>
        </w:rPr>
      </w:pPr>
    </w:p>
    <w:p w14:paraId="1F1B6727" w14:textId="77777777" w:rsidR="00AE2884" w:rsidRPr="00C847C8" w:rsidRDefault="00AE2884" w:rsidP="00AE2884">
      <w:pPr>
        <w:spacing w:line="276" w:lineRule="auto"/>
        <w:ind w:left="1276" w:hanging="1276"/>
        <w:jc w:val="center"/>
        <w:rPr>
          <w:i/>
        </w:rPr>
      </w:pPr>
      <w:r w:rsidRPr="00C847C8">
        <w:rPr>
          <w:i/>
          <w:noProof/>
          <w:lang w:eastAsia="en-CA"/>
        </w:rPr>
        <w:drawing>
          <wp:inline distT="0" distB="0" distL="0" distR="0" wp14:anchorId="36E41222" wp14:editId="66987898">
            <wp:extent cx="5943600" cy="25241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tif"/>
                    <pic:cNvPicPr/>
                  </pic:nvPicPr>
                  <pic:blipFill>
                    <a:blip r:embed="rId16">
                      <a:extLst>
                        <a:ext uri="{28A0092B-C50C-407E-A947-70E740481C1C}">
                          <a14:useLocalDpi xmlns:a14="http://schemas.microsoft.com/office/drawing/2010/main"/>
                        </a:ext>
                      </a:extLst>
                    </a:blip>
                    <a:stretch>
                      <a:fillRect/>
                    </a:stretch>
                  </pic:blipFill>
                  <pic:spPr>
                    <a:xfrm>
                      <a:off x="0" y="0"/>
                      <a:ext cx="5943600" cy="2524125"/>
                    </a:xfrm>
                    <a:prstGeom prst="rect">
                      <a:avLst/>
                    </a:prstGeom>
                  </pic:spPr>
                </pic:pic>
              </a:graphicData>
            </a:graphic>
          </wp:inline>
        </w:drawing>
      </w:r>
    </w:p>
    <w:p w14:paraId="795116C9" w14:textId="14A0E0A8" w:rsidR="00AE2884" w:rsidRPr="00C847C8" w:rsidRDefault="00AE2884" w:rsidP="00AE2884">
      <w:pPr>
        <w:spacing w:line="276" w:lineRule="auto"/>
        <w:ind w:left="1276" w:hanging="1276"/>
        <w:rPr>
          <w:i/>
          <w:noProof/>
          <w:lang w:eastAsia="en-CA"/>
        </w:rPr>
      </w:pPr>
      <w:r w:rsidRPr="00C847C8">
        <w:rPr>
          <w:b/>
          <w:i/>
          <w:noProof/>
          <w:lang w:eastAsia="en-CA"/>
        </w:rPr>
        <w:t xml:space="preserve">Figure </w:t>
      </w:r>
      <w:r w:rsidR="00E8717F" w:rsidRPr="00C847C8">
        <w:rPr>
          <w:b/>
          <w:i/>
          <w:noProof/>
          <w:lang w:eastAsia="en-CA"/>
        </w:rPr>
        <w:t>S8</w:t>
      </w:r>
      <w:r w:rsidRPr="00C847C8">
        <w:rPr>
          <w:b/>
          <w:i/>
          <w:noProof/>
          <w:lang w:eastAsia="en-CA"/>
        </w:rPr>
        <w:t>.</w:t>
      </w:r>
      <w:r w:rsidRPr="00C847C8">
        <w:rPr>
          <w:b/>
          <w:i/>
          <w:noProof/>
          <w:lang w:eastAsia="en-CA"/>
        </w:rPr>
        <w:tab/>
      </w:r>
      <w:r w:rsidRPr="00C847C8">
        <w:rPr>
          <w:i/>
          <w:noProof/>
          <w:lang w:eastAsia="en-CA"/>
        </w:rPr>
        <w:t>A)</w:t>
      </w:r>
      <w:r w:rsidRPr="00C847C8">
        <w:rPr>
          <w:b/>
          <w:i/>
          <w:noProof/>
          <w:lang w:eastAsia="en-CA"/>
        </w:rPr>
        <w:t xml:space="preserve"> </w:t>
      </w:r>
      <w:r w:rsidRPr="00C847C8">
        <w:rPr>
          <w:i/>
          <w:noProof/>
          <w:lang w:eastAsia="en-CA"/>
        </w:rPr>
        <w:t xml:space="preserve">Stability range for pH-sensitive ratiometry of In@(RB)@(FL)@MQ (20-nm) </w:t>
      </w:r>
      <w:r w:rsidRPr="00C847C8">
        <w:rPr>
          <w:i/>
        </w:rPr>
        <w:t xml:space="preserve">in three buffer compositions </w:t>
      </w:r>
      <w:r w:rsidRPr="00C847C8">
        <w:rPr>
          <w:i/>
          <w:noProof/>
          <w:lang w:eastAsia="en-CA"/>
        </w:rPr>
        <w:t>with regards to chloride concentration. B) Halide ion-sensitive fluorescence ratiometry (MQ/RB) with regards to pH.</w:t>
      </w:r>
    </w:p>
    <w:p w14:paraId="2BEC68D0" w14:textId="77777777" w:rsidR="00AE2884" w:rsidRPr="00C847C8" w:rsidRDefault="00AE2884" w:rsidP="00BD1F8A">
      <w:pPr>
        <w:spacing w:before="240" w:line="276" w:lineRule="auto"/>
        <w:ind w:firstLine="0"/>
        <w:jc w:val="center"/>
        <w:rPr>
          <w:noProof/>
          <w:lang w:eastAsia="en-CA"/>
        </w:rPr>
      </w:pPr>
    </w:p>
    <w:p w14:paraId="277DC5D6" w14:textId="77777777" w:rsidR="00AE2884" w:rsidRPr="00C847C8" w:rsidRDefault="00AE2884" w:rsidP="00BD1F8A">
      <w:pPr>
        <w:spacing w:before="240" w:line="276" w:lineRule="auto"/>
        <w:ind w:firstLine="0"/>
        <w:jc w:val="center"/>
        <w:rPr>
          <w:noProof/>
          <w:lang w:eastAsia="en-CA"/>
        </w:rPr>
      </w:pPr>
    </w:p>
    <w:p w14:paraId="395BA54B" w14:textId="77777777" w:rsidR="00BD1F8A" w:rsidRPr="00C847C8" w:rsidRDefault="00BD1F8A" w:rsidP="00BD1F8A">
      <w:pPr>
        <w:spacing w:before="240" w:line="276" w:lineRule="auto"/>
        <w:ind w:firstLine="0"/>
        <w:jc w:val="center"/>
        <w:rPr>
          <w:noProof/>
          <w:lang w:eastAsia="en-CA"/>
        </w:rPr>
      </w:pPr>
      <w:r w:rsidRPr="00C847C8">
        <w:rPr>
          <w:noProof/>
          <w:lang w:eastAsia="en-CA"/>
        </w:rPr>
        <w:drawing>
          <wp:inline distT="0" distB="0" distL="0" distR="0" wp14:anchorId="54408748" wp14:editId="4A92B2E4">
            <wp:extent cx="3429000" cy="28445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426923" cy="2842782"/>
                    </a:xfrm>
                    <a:prstGeom prst="rect">
                      <a:avLst/>
                    </a:prstGeom>
                    <a:noFill/>
                  </pic:spPr>
                </pic:pic>
              </a:graphicData>
            </a:graphic>
          </wp:inline>
        </w:drawing>
      </w:r>
    </w:p>
    <w:p w14:paraId="0BE11071" w14:textId="0827305D" w:rsidR="00BD1F8A" w:rsidRPr="00C847C8" w:rsidRDefault="00BD1F8A" w:rsidP="00BD1F8A">
      <w:pPr>
        <w:spacing w:after="160" w:line="276" w:lineRule="auto"/>
        <w:ind w:left="1560" w:hanging="1276"/>
        <w:jc w:val="left"/>
        <w:rPr>
          <w:i/>
          <w:noProof/>
          <w:lang w:eastAsia="en-CA"/>
        </w:rPr>
      </w:pPr>
      <w:r w:rsidRPr="00C847C8">
        <w:rPr>
          <w:b/>
          <w:i/>
          <w:noProof/>
          <w:lang w:eastAsia="en-CA"/>
        </w:rPr>
        <w:t xml:space="preserve">Figure </w:t>
      </w:r>
      <w:r w:rsidR="00E8717F" w:rsidRPr="00C847C8">
        <w:rPr>
          <w:b/>
          <w:i/>
          <w:noProof/>
          <w:lang w:eastAsia="en-CA"/>
        </w:rPr>
        <w:t>S9</w:t>
      </w:r>
      <w:r w:rsidRPr="00C847C8">
        <w:rPr>
          <w:b/>
          <w:i/>
          <w:noProof/>
          <w:lang w:eastAsia="en-CA"/>
        </w:rPr>
        <w:t>.</w:t>
      </w:r>
      <w:r w:rsidRPr="00C847C8">
        <w:rPr>
          <w:b/>
          <w:i/>
          <w:noProof/>
          <w:lang w:eastAsia="en-CA"/>
        </w:rPr>
        <w:tab/>
      </w:r>
      <w:r w:rsidRPr="00C847C8">
        <w:rPr>
          <w:i/>
          <w:noProof/>
          <w:lang w:eastAsia="en-CA"/>
        </w:rPr>
        <w:t>Stern-Volmer constants for Cl</w:t>
      </w:r>
      <w:r w:rsidRPr="00C847C8">
        <w:rPr>
          <w:i/>
          <w:noProof/>
          <w:vertAlign w:val="superscript"/>
          <w:lang w:eastAsia="en-CA"/>
        </w:rPr>
        <w:t>-</w:t>
      </w:r>
      <w:r w:rsidRPr="00C847C8">
        <w:rPr>
          <w:i/>
          <w:noProof/>
          <w:lang w:eastAsia="en-CA"/>
        </w:rPr>
        <w:t>, Br</w:t>
      </w:r>
      <w:r w:rsidRPr="00C847C8">
        <w:rPr>
          <w:i/>
          <w:noProof/>
          <w:vertAlign w:val="superscript"/>
          <w:lang w:eastAsia="en-CA"/>
        </w:rPr>
        <w:t>-</w:t>
      </w:r>
      <w:r w:rsidRPr="00C847C8">
        <w:rPr>
          <w:i/>
          <w:noProof/>
          <w:lang w:eastAsia="en-CA"/>
        </w:rPr>
        <w:t xml:space="preserve"> and I</w:t>
      </w:r>
      <w:r w:rsidRPr="00C847C8">
        <w:rPr>
          <w:i/>
          <w:noProof/>
          <w:vertAlign w:val="superscript"/>
          <w:lang w:eastAsia="en-CA"/>
        </w:rPr>
        <w:t>-</w:t>
      </w:r>
      <w:r w:rsidRPr="00C847C8">
        <w:rPr>
          <w:i/>
          <w:noProof/>
          <w:lang w:eastAsia="en-CA"/>
        </w:rPr>
        <w:t xml:space="preserve"> with different In@(RB)@SiO</w:t>
      </w:r>
      <w:r w:rsidRPr="00C847C8">
        <w:rPr>
          <w:i/>
          <w:noProof/>
          <w:vertAlign w:val="subscript"/>
          <w:lang w:eastAsia="en-CA"/>
        </w:rPr>
        <w:t>2</w:t>
      </w:r>
      <w:r w:rsidRPr="00C847C8">
        <w:rPr>
          <w:i/>
          <w:noProof/>
          <w:lang w:eastAsia="en-CA"/>
        </w:rPr>
        <w:t>@MQ colloidal architectures.</w:t>
      </w:r>
    </w:p>
    <w:p w14:paraId="087CADB6" w14:textId="77777777" w:rsidR="00711B03" w:rsidRPr="00C847C8" w:rsidRDefault="00711B03" w:rsidP="00711B03">
      <w:pPr>
        <w:pStyle w:val="Sansinterligne"/>
        <w:spacing w:after="180"/>
        <w:contextualSpacing w:val="0"/>
        <w:jc w:val="left"/>
        <w:rPr>
          <w:b/>
          <w:i w:val="0"/>
        </w:rPr>
      </w:pPr>
    </w:p>
    <w:p w14:paraId="1BEF3837" w14:textId="3220C961" w:rsidR="00711B03" w:rsidRPr="00C847C8" w:rsidRDefault="00711B03" w:rsidP="00711B03">
      <w:pPr>
        <w:pStyle w:val="Sansinterligne"/>
        <w:spacing w:after="180"/>
        <w:contextualSpacing w:val="0"/>
        <w:jc w:val="left"/>
        <w:rPr>
          <w:b/>
          <w:i w:val="0"/>
        </w:rPr>
      </w:pPr>
      <w:r w:rsidRPr="00C847C8">
        <w:rPr>
          <w:b/>
          <w:i w:val="0"/>
        </w:rPr>
        <w:t>ACKNOWLEDGEMENTS.</w:t>
      </w:r>
    </w:p>
    <w:p w14:paraId="6563567D" w14:textId="61EB0858" w:rsidR="00A6231B" w:rsidRPr="00C847C8" w:rsidRDefault="00711B03" w:rsidP="00711B03">
      <w:pPr>
        <w:ind w:firstLine="284"/>
        <w:rPr>
          <w:lang w:val="en-US"/>
        </w:rPr>
      </w:pPr>
      <w:r w:rsidRPr="00C847C8">
        <w:t xml:space="preserve">This work was supported by the Natural Sciences and Engineering Research Council of Canada, the “Fonds de la Recherche du Québec – Nature et Technologies” and the Canadian Foundation for Innovation. We acknowledge Mrs. Julie-Christine Lévesque and the Centre de Recherche en Infectiologie for technical assistance on the TEM imaging platform. The authors would also like to thank Félix-Antoine Lavoie </w:t>
      </w:r>
      <w:r w:rsidR="00DF4DB2">
        <w:t xml:space="preserve">and </w:t>
      </w:r>
      <w:r w:rsidR="00DF4DB2" w:rsidRPr="00C847C8">
        <w:t xml:space="preserve">Philippe Legros </w:t>
      </w:r>
      <w:r w:rsidRPr="00C847C8">
        <w:t>for insightful discussions.</w:t>
      </w:r>
    </w:p>
    <w:p w14:paraId="5FBC084E" w14:textId="319A6985" w:rsidR="00A6231B" w:rsidRPr="00C847C8" w:rsidRDefault="00A6231B" w:rsidP="00D7466D">
      <w:pPr>
        <w:pStyle w:val="Sansinterligne"/>
        <w:jc w:val="left"/>
        <w:rPr>
          <w:b/>
          <w:i w:val="0"/>
          <w:lang w:val="fr-CA"/>
        </w:rPr>
      </w:pPr>
      <w:r w:rsidRPr="00C847C8">
        <w:rPr>
          <w:b/>
          <w:i w:val="0"/>
          <w:lang w:val="fr-CA"/>
        </w:rPr>
        <w:t>REFERENCES.</w:t>
      </w:r>
    </w:p>
    <w:p w14:paraId="14F8D113" w14:textId="308CDEE0" w:rsidR="00711B03" w:rsidRPr="00C847C8" w:rsidRDefault="00A6231B" w:rsidP="00711B03">
      <w:pPr>
        <w:widowControl w:val="0"/>
        <w:autoSpaceDE w:val="0"/>
        <w:autoSpaceDN w:val="0"/>
        <w:adjustRightInd w:val="0"/>
        <w:spacing w:after="180" w:line="240" w:lineRule="auto"/>
        <w:ind w:left="640" w:hanging="640"/>
        <w:rPr>
          <w:noProof/>
          <w:szCs w:val="24"/>
          <w:lang w:val="fr-CA"/>
        </w:rPr>
      </w:pPr>
      <w:r w:rsidRPr="00C847C8">
        <w:rPr>
          <w:b/>
          <w:i/>
        </w:rPr>
        <w:fldChar w:fldCharType="begin" w:fldLock="1"/>
      </w:r>
      <w:r w:rsidRPr="00C847C8">
        <w:rPr>
          <w:b/>
          <w:i/>
          <w:lang w:val="fr-CA"/>
        </w:rPr>
        <w:instrText xml:space="preserve">ADDIN Mendeley Bibliography CSL_BIBLIOGRAPHY </w:instrText>
      </w:r>
      <w:r w:rsidRPr="00C847C8">
        <w:rPr>
          <w:b/>
          <w:i/>
        </w:rPr>
        <w:fldChar w:fldCharType="separate"/>
      </w:r>
      <w:r w:rsidR="00711B03" w:rsidRPr="00C847C8">
        <w:rPr>
          <w:noProof/>
          <w:szCs w:val="24"/>
          <w:lang w:val="fr-CA"/>
        </w:rPr>
        <w:t>1</w:t>
      </w:r>
      <w:r w:rsidR="00711B03" w:rsidRPr="00C847C8">
        <w:rPr>
          <w:noProof/>
          <w:szCs w:val="24"/>
          <w:lang w:val="fr-CA"/>
        </w:rPr>
        <w:tab/>
        <w:t xml:space="preserve">F. Magnan, J. Gagnon, F.-G. Fontaine and D. Boudreau, </w:t>
      </w:r>
      <w:r w:rsidR="00711B03" w:rsidRPr="00C847C8">
        <w:rPr>
          <w:i/>
          <w:iCs/>
          <w:noProof/>
          <w:szCs w:val="24"/>
          <w:lang w:val="fr-CA"/>
        </w:rPr>
        <w:t>Chem. Commun.</w:t>
      </w:r>
      <w:r w:rsidR="00711B03" w:rsidRPr="00C847C8">
        <w:rPr>
          <w:noProof/>
          <w:szCs w:val="24"/>
          <w:lang w:val="fr-CA"/>
        </w:rPr>
        <w:t xml:space="preserve">, 2013, </w:t>
      </w:r>
      <w:r w:rsidR="00711B03" w:rsidRPr="00C847C8">
        <w:rPr>
          <w:b/>
          <w:bCs/>
          <w:noProof/>
          <w:szCs w:val="24"/>
          <w:lang w:val="fr-CA"/>
        </w:rPr>
        <w:t>49</w:t>
      </w:r>
      <w:r w:rsidR="00711B03" w:rsidRPr="00C847C8">
        <w:rPr>
          <w:noProof/>
          <w:szCs w:val="24"/>
          <w:lang w:val="fr-CA"/>
        </w:rPr>
        <w:t>, 9299–301.</w:t>
      </w:r>
    </w:p>
    <w:p w14:paraId="287986A4" w14:textId="77777777" w:rsidR="00711B03" w:rsidRPr="00C847C8" w:rsidRDefault="00711B03" w:rsidP="00711B03">
      <w:pPr>
        <w:widowControl w:val="0"/>
        <w:autoSpaceDE w:val="0"/>
        <w:autoSpaceDN w:val="0"/>
        <w:adjustRightInd w:val="0"/>
        <w:spacing w:after="180" w:line="240" w:lineRule="auto"/>
        <w:ind w:left="640" w:hanging="640"/>
        <w:rPr>
          <w:noProof/>
          <w:szCs w:val="24"/>
          <w:lang w:val="fr-CA"/>
        </w:rPr>
      </w:pPr>
      <w:r w:rsidRPr="00C847C8">
        <w:rPr>
          <w:noProof/>
          <w:szCs w:val="24"/>
          <w:lang w:val="fr-CA"/>
        </w:rPr>
        <w:t>2</w:t>
      </w:r>
      <w:r w:rsidRPr="00C847C8">
        <w:rPr>
          <w:noProof/>
          <w:szCs w:val="24"/>
          <w:lang w:val="fr-CA"/>
        </w:rPr>
        <w:tab/>
        <w:t xml:space="preserve">J. Asselin, P. Legros, A. Grégoire and D. Boudreau, </w:t>
      </w:r>
      <w:r w:rsidRPr="00C847C8">
        <w:rPr>
          <w:i/>
          <w:iCs/>
          <w:noProof/>
          <w:szCs w:val="24"/>
          <w:lang w:val="fr-CA"/>
        </w:rPr>
        <w:t>Plasmonics</w:t>
      </w:r>
      <w:r w:rsidRPr="00C847C8">
        <w:rPr>
          <w:noProof/>
          <w:szCs w:val="24"/>
          <w:lang w:val="fr-CA"/>
        </w:rPr>
        <w:t xml:space="preserve">, 2016, </w:t>
      </w:r>
      <w:r w:rsidRPr="00C847C8">
        <w:rPr>
          <w:b/>
          <w:bCs/>
          <w:noProof/>
          <w:szCs w:val="24"/>
          <w:lang w:val="fr-CA"/>
        </w:rPr>
        <w:t>11</w:t>
      </w:r>
      <w:r w:rsidRPr="00C847C8">
        <w:rPr>
          <w:noProof/>
          <w:szCs w:val="24"/>
          <w:lang w:val="fr-CA"/>
        </w:rPr>
        <w:t>, 1369–1376.</w:t>
      </w:r>
    </w:p>
    <w:p w14:paraId="592F1905" w14:textId="77777777" w:rsidR="00711B03" w:rsidRPr="00C847C8" w:rsidRDefault="00711B03" w:rsidP="00711B03">
      <w:pPr>
        <w:widowControl w:val="0"/>
        <w:autoSpaceDE w:val="0"/>
        <w:autoSpaceDN w:val="0"/>
        <w:adjustRightInd w:val="0"/>
        <w:spacing w:after="180" w:line="240" w:lineRule="auto"/>
        <w:ind w:left="640" w:hanging="640"/>
        <w:rPr>
          <w:noProof/>
          <w:szCs w:val="24"/>
          <w:lang w:val="fr-CA"/>
        </w:rPr>
      </w:pPr>
      <w:r w:rsidRPr="00C847C8">
        <w:rPr>
          <w:noProof/>
          <w:szCs w:val="24"/>
          <w:lang w:val="fr-CA"/>
        </w:rPr>
        <w:t>3</w:t>
      </w:r>
      <w:r w:rsidRPr="00C847C8">
        <w:rPr>
          <w:noProof/>
          <w:szCs w:val="24"/>
          <w:lang w:val="fr-CA"/>
        </w:rPr>
        <w:tab/>
        <w:t xml:space="preserve">M. L. Viger, L. S. Live, O. D. Therrien and D. Boudreau, </w:t>
      </w:r>
      <w:r w:rsidRPr="00C847C8">
        <w:rPr>
          <w:i/>
          <w:iCs/>
          <w:noProof/>
          <w:szCs w:val="24"/>
          <w:lang w:val="fr-CA"/>
        </w:rPr>
        <w:t>Plasmonics</w:t>
      </w:r>
      <w:r w:rsidRPr="00C847C8">
        <w:rPr>
          <w:noProof/>
          <w:szCs w:val="24"/>
          <w:lang w:val="fr-CA"/>
        </w:rPr>
        <w:t xml:space="preserve">, 2008, </w:t>
      </w:r>
      <w:r w:rsidRPr="00C847C8">
        <w:rPr>
          <w:b/>
          <w:bCs/>
          <w:noProof/>
          <w:szCs w:val="24"/>
          <w:lang w:val="fr-CA"/>
        </w:rPr>
        <w:t>3</w:t>
      </w:r>
      <w:r w:rsidRPr="00C847C8">
        <w:rPr>
          <w:noProof/>
          <w:szCs w:val="24"/>
          <w:lang w:val="fr-CA"/>
        </w:rPr>
        <w:t>, 33–40.</w:t>
      </w:r>
    </w:p>
    <w:p w14:paraId="7EDFADAE" w14:textId="77777777" w:rsidR="00711B03" w:rsidRPr="00C847C8" w:rsidRDefault="00711B03" w:rsidP="00711B03">
      <w:pPr>
        <w:widowControl w:val="0"/>
        <w:autoSpaceDE w:val="0"/>
        <w:autoSpaceDN w:val="0"/>
        <w:adjustRightInd w:val="0"/>
        <w:spacing w:after="180" w:line="240" w:lineRule="auto"/>
        <w:ind w:left="640" w:hanging="640"/>
        <w:rPr>
          <w:noProof/>
          <w:szCs w:val="24"/>
        </w:rPr>
      </w:pPr>
      <w:r w:rsidRPr="00C847C8">
        <w:rPr>
          <w:noProof/>
          <w:szCs w:val="24"/>
        </w:rPr>
        <w:t>4</w:t>
      </w:r>
      <w:r w:rsidRPr="00C847C8">
        <w:rPr>
          <w:noProof/>
          <w:szCs w:val="24"/>
        </w:rPr>
        <w:tab/>
        <w:t xml:space="preserve">L. Baù, F. Selvestrel, M. Arduini, I. Zamparo, C. Lodovichi and F. Mancin, </w:t>
      </w:r>
      <w:r w:rsidRPr="00C847C8">
        <w:rPr>
          <w:i/>
          <w:iCs/>
          <w:noProof/>
          <w:szCs w:val="24"/>
        </w:rPr>
        <w:t>Org. Lett.</w:t>
      </w:r>
      <w:r w:rsidRPr="00C847C8">
        <w:rPr>
          <w:noProof/>
          <w:szCs w:val="24"/>
        </w:rPr>
        <w:t xml:space="preserve">, 2012, </w:t>
      </w:r>
      <w:r w:rsidRPr="00C847C8">
        <w:rPr>
          <w:b/>
          <w:bCs/>
          <w:noProof/>
          <w:szCs w:val="24"/>
        </w:rPr>
        <w:t>14</w:t>
      </w:r>
      <w:r w:rsidRPr="00C847C8">
        <w:rPr>
          <w:noProof/>
          <w:szCs w:val="24"/>
        </w:rPr>
        <w:t>, 2984–2987.</w:t>
      </w:r>
    </w:p>
    <w:p w14:paraId="6616D662" w14:textId="77777777" w:rsidR="00711B03" w:rsidRPr="00C847C8" w:rsidRDefault="00711B03" w:rsidP="00711B03">
      <w:pPr>
        <w:widowControl w:val="0"/>
        <w:autoSpaceDE w:val="0"/>
        <w:autoSpaceDN w:val="0"/>
        <w:adjustRightInd w:val="0"/>
        <w:spacing w:after="180" w:line="240" w:lineRule="auto"/>
        <w:ind w:left="640" w:hanging="640"/>
        <w:rPr>
          <w:noProof/>
        </w:rPr>
      </w:pPr>
      <w:r w:rsidRPr="00C847C8">
        <w:rPr>
          <w:noProof/>
          <w:szCs w:val="24"/>
        </w:rPr>
        <w:t>5</w:t>
      </w:r>
      <w:r w:rsidRPr="00C847C8">
        <w:rPr>
          <w:noProof/>
          <w:szCs w:val="24"/>
        </w:rPr>
        <w:tab/>
        <w:t xml:space="preserve">Y. Kobayashi, H. Katakami, E. Mine, D. Nagao, M. Konno and L. M. Liz-Marzán, </w:t>
      </w:r>
      <w:r w:rsidRPr="00C847C8">
        <w:rPr>
          <w:i/>
          <w:iCs/>
          <w:noProof/>
          <w:szCs w:val="24"/>
        </w:rPr>
        <w:t>J. Colloid Interface Sci.</w:t>
      </w:r>
      <w:r w:rsidRPr="00C847C8">
        <w:rPr>
          <w:noProof/>
          <w:szCs w:val="24"/>
        </w:rPr>
        <w:t xml:space="preserve">, 2005, </w:t>
      </w:r>
      <w:r w:rsidRPr="00C847C8">
        <w:rPr>
          <w:b/>
          <w:bCs/>
          <w:noProof/>
          <w:szCs w:val="24"/>
        </w:rPr>
        <w:t>283</w:t>
      </w:r>
      <w:r w:rsidRPr="00C847C8">
        <w:rPr>
          <w:noProof/>
          <w:szCs w:val="24"/>
        </w:rPr>
        <w:t>, 392–396.</w:t>
      </w:r>
    </w:p>
    <w:p w14:paraId="0F1D5654" w14:textId="3915FABB" w:rsidR="00A6231B" w:rsidRDefault="00A6231B" w:rsidP="00711B03">
      <w:pPr>
        <w:pStyle w:val="Sansinterligne"/>
        <w:spacing w:after="180"/>
        <w:ind w:left="0" w:firstLine="0"/>
        <w:contextualSpacing w:val="0"/>
        <w:jc w:val="left"/>
        <w:rPr>
          <w:b/>
          <w:i w:val="0"/>
        </w:rPr>
      </w:pPr>
      <w:r w:rsidRPr="00C847C8">
        <w:rPr>
          <w:b/>
          <w:i w:val="0"/>
        </w:rPr>
        <w:fldChar w:fldCharType="end"/>
      </w:r>
    </w:p>
    <w:sectPr w:rsidR="00A6231B" w:rsidSect="00A211B9">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EA95" w14:textId="77777777" w:rsidR="00165EA3" w:rsidRDefault="00165EA3" w:rsidP="00D133EF">
      <w:pPr>
        <w:spacing w:after="0" w:line="240" w:lineRule="auto"/>
      </w:pPr>
      <w:r>
        <w:separator/>
      </w:r>
    </w:p>
  </w:endnote>
  <w:endnote w:type="continuationSeparator" w:id="0">
    <w:p w14:paraId="6CD9E850" w14:textId="77777777" w:rsidR="00165EA3" w:rsidRDefault="00165EA3" w:rsidP="00D1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257788"/>
      <w:docPartObj>
        <w:docPartGallery w:val="Page Numbers (Bottom of Page)"/>
        <w:docPartUnique/>
      </w:docPartObj>
    </w:sdtPr>
    <w:sdtEndPr/>
    <w:sdtContent>
      <w:p w14:paraId="0E99FFB9" w14:textId="77777777" w:rsidR="00D133EF" w:rsidRDefault="000F7390">
        <w:pPr>
          <w:pStyle w:val="Pieddepage"/>
          <w:jc w:val="right"/>
        </w:pPr>
        <w:r>
          <w:fldChar w:fldCharType="begin"/>
        </w:r>
        <w:r w:rsidR="00D133EF" w:rsidRPr="00AA0B91">
          <w:instrText>PAGE   \* MERGEFORMAT</w:instrText>
        </w:r>
        <w:r>
          <w:fldChar w:fldCharType="separate"/>
        </w:r>
        <w:r w:rsidR="00A97C3D" w:rsidRPr="00A97C3D">
          <w:rPr>
            <w:noProof/>
            <w:lang w:val="fr-FR"/>
          </w:rPr>
          <w:t>11</w:t>
        </w:r>
        <w:r>
          <w:fldChar w:fldCharType="end"/>
        </w:r>
      </w:p>
    </w:sdtContent>
  </w:sdt>
  <w:p w14:paraId="44F427E2" w14:textId="77777777" w:rsidR="00D133EF" w:rsidRDefault="00D133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A907" w14:textId="77777777" w:rsidR="00165EA3" w:rsidRDefault="00165EA3" w:rsidP="00D133EF">
      <w:pPr>
        <w:spacing w:after="0" w:line="240" w:lineRule="auto"/>
      </w:pPr>
      <w:r>
        <w:separator/>
      </w:r>
    </w:p>
  </w:footnote>
  <w:footnote w:type="continuationSeparator" w:id="0">
    <w:p w14:paraId="652EE69C" w14:textId="77777777" w:rsidR="00165EA3" w:rsidRDefault="00165EA3" w:rsidP="00D1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22C2"/>
    <w:multiLevelType w:val="hybridMultilevel"/>
    <w:tmpl w:val="323A6938"/>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 w15:restartNumberingAfterBreak="0">
    <w:nsid w:val="14B06ADA"/>
    <w:multiLevelType w:val="hybridMultilevel"/>
    <w:tmpl w:val="D5BAF558"/>
    <w:lvl w:ilvl="0" w:tplc="10090015">
      <w:start w:val="1"/>
      <w:numFmt w:val="upp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B62EBB"/>
    <w:multiLevelType w:val="multilevel"/>
    <w:tmpl w:val="FFF270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53A5F97"/>
    <w:multiLevelType w:val="hybridMultilevel"/>
    <w:tmpl w:val="C80E3DCC"/>
    <w:lvl w:ilvl="0" w:tplc="984E5AE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37C11537"/>
    <w:multiLevelType w:val="hybridMultilevel"/>
    <w:tmpl w:val="37226A0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40A0097C"/>
    <w:multiLevelType w:val="hybridMultilevel"/>
    <w:tmpl w:val="3460AE22"/>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428E030B"/>
    <w:multiLevelType w:val="hybridMultilevel"/>
    <w:tmpl w:val="0DF0F132"/>
    <w:lvl w:ilvl="0" w:tplc="D4E04C30">
      <w:start w:val="1"/>
      <w:numFmt w:val="decimal"/>
      <w:pStyle w:val="Titre3"/>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C4"/>
    <w:rsid w:val="000051F9"/>
    <w:rsid w:val="000111B2"/>
    <w:rsid w:val="000179F4"/>
    <w:rsid w:val="00026CB7"/>
    <w:rsid w:val="0003083B"/>
    <w:rsid w:val="000318B9"/>
    <w:rsid w:val="000338D1"/>
    <w:rsid w:val="000407D7"/>
    <w:rsid w:val="00041D5B"/>
    <w:rsid w:val="000444F6"/>
    <w:rsid w:val="000458E8"/>
    <w:rsid w:val="00053DE0"/>
    <w:rsid w:val="00060D4D"/>
    <w:rsid w:val="00063B9C"/>
    <w:rsid w:val="00067266"/>
    <w:rsid w:val="000672DC"/>
    <w:rsid w:val="00070435"/>
    <w:rsid w:val="0007650D"/>
    <w:rsid w:val="00080002"/>
    <w:rsid w:val="00081E1D"/>
    <w:rsid w:val="000852F2"/>
    <w:rsid w:val="0008578E"/>
    <w:rsid w:val="00090E58"/>
    <w:rsid w:val="000A1301"/>
    <w:rsid w:val="000A514E"/>
    <w:rsid w:val="000A52DE"/>
    <w:rsid w:val="000B7A0E"/>
    <w:rsid w:val="000C1719"/>
    <w:rsid w:val="000C696E"/>
    <w:rsid w:val="000D0639"/>
    <w:rsid w:val="000D2CD1"/>
    <w:rsid w:val="000D3604"/>
    <w:rsid w:val="000D4D46"/>
    <w:rsid w:val="000E5510"/>
    <w:rsid w:val="000E6C27"/>
    <w:rsid w:val="000E6ED4"/>
    <w:rsid w:val="000E7704"/>
    <w:rsid w:val="000E79DA"/>
    <w:rsid w:val="000F0B85"/>
    <w:rsid w:val="000F4082"/>
    <w:rsid w:val="000F6424"/>
    <w:rsid w:val="000F7390"/>
    <w:rsid w:val="000F7BE8"/>
    <w:rsid w:val="00116F34"/>
    <w:rsid w:val="0012131F"/>
    <w:rsid w:val="00121538"/>
    <w:rsid w:val="001221B4"/>
    <w:rsid w:val="00130680"/>
    <w:rsid w:val="00136F22"/>
    <w:rsid w:val="00140988"/>
    <w:rsid w:val="001448F4"/>
    <w:rsid w:val="001456EA"/>
    <w:rsid w:val="001530FA"/>
    <w:rsid w:val="00156944"/>
    <w:rsid w:val="00164BBB"/>
    <w:rsid w:val="00165EA3"/>
    <w:rsid w:val="00177EB0"/>
    <w:rsid w:val="00180720"/>
    <w:rsid w:val="00180B1B"/>
    <w:rsid w:val="00186488"/>
    <w:rsid w:val="0019104F"/>
    <w:rsid w:val="001943BF"/>
    <w:rsid w:val="001A01F3"/>
    <w:rsid w:val="001A1618"/>
    <w:rsid w:val="001A6561"/>
    <w:rsid w:val="001B1C5E"/>
    <w:rsid w:val="001C4843"/>
    <w:rsid w:val="001D1B4D"/>
    <w:rsid w:val="001D7F3D"/>
    <w:rsid w:val="001E0BDC"/>
    <w:rsid w:val="001E2720"/>
    <w:rsid w:val="001E368E"/>
    <w:rsid w:val="001E4C9C"/>
    <w:rsid w:val="001F00E1"/>
    <w:rsid w:val="001F2FF7"/>
    <w:rsid w:val="001F51A0"/>
    <w:rsid w:val="00200E29"/>
    <w:rsid w:val="00201924"/>
    <w:rsid w:val="0020223C"/>
    <w:rsid w:val="00203328"/>
    <w:rsid w:val="00216095"/>
    <w:rsid w:val="002216A7"/>
    <w:rsid w:val="0022200B"/>
    <w:rsid w:val="00225054"/>
    <w:rsid w:val="002276E8"/>
    <w:rsid w:val="00232619"/>
    <w:rsid w:val="002335B4"/>
    <w:rsid w:val="0023496C"/>
    <w:rsid w:val="00234CA2"/>
    <w:rsid w:val="0023720C"/>
    <w:rsid w:val="002451CE"/>
    <w:rsid w:val="00247F81"/>
    <w:rsid w:val="00251F56"/>
    <w:rsid w:val="00256FEA"/>
    <w:rsid w:val="002643D8"/>
    <w:rsid w:val="00265B99"/>
    <w:rsid w:val="00267BF2"/>
    <w:rsid w:val="00270935"/>
    <w:rsid w:val="002728C9"/>
    <w:rsid w:val="0027437E"/>
    <w:rsid w:val="00274411"/>
    <w:rsid w:val="00274D9F"/>
    <w:rsid w:val="002754DA"/>
    <w:rsid w:val="00277D3B"/>
    <w:rsid w:val="00287AC3"/>
    <w:rsid w:val="00287F93"/>
    <w:rsid w:val="002A4D3B"/>
    <w:rsid w:val="002B71D9"/>
    <w:rsid w:val="002C1BA9"/>
    <w:rsid w:val="002C5AAA"/>
    <w:rsid w:val="002C6AE3"/>
    <w:rsid w:val="002D1787"/>
    <w:rsid w:val="002D30AE"/>
    <w:rsid w:val="002D5A39"/>
    <w:rsid w:val="002D5D3E"/>
    <w:rsid w:val="002E32D0"/>
    <w:rsid w:val="002E4516"/>
    <w:rsid w:val="002E6AA0"/>
    <w:rsid w:val="002E7D18"/>
    <w:rsid w:val="002F676A"/>
    <w:rsid w:val="00303EDB"/>
    <w:rsid w:val="00307BAD"/>
    <w:rsid w:val="0031411B"/>
    <w:rsid w:val="003175E0"/>
    <w:rsid w:val="00321047"/>
    <w:rsid w:val="00321C99"/>
    <w:rsid w:val="003245C6"/>
    <w:rsid w:val="0033327C"/>
    <w:rsid w:val="003349D0"/>
    <w:rsid w:val="00336058"/>
    <w:rsid w:val="00336ACF"/>
    <w:rsid w:val="00340DDF"/>
    <w:rsid w:val="00342985"/>
    <w:rsid w:val="00342AA3"/>
    <w:rsid w:val="00342E8E"/>
    <w:rsid w:val="00346E8B"/>
    <w:rsid w:val="00347313"/>
    <w:rsid w:val="003514C5"/>
    <w:rsid w:val="003528B1"/>
    <w:rsid w:val="003575BE"/>
    <w:rsid w:val="003637EC"/>
    <w:rsid w:val="003642A7"/>
    <w:rsid w:val="00365411"/>
    <w:rsid w:val="003656FC"/>
    <w:rsid w:val="00366B7D"/>
    <w:rsid w:val="00366E6D"/>
    <w:rsid w:val="0037236C"/>
    <w:rsid w:val="00373BE1"/>
    <w:rsid w:val="0037500D"/>
    <w:rsid w:val="00377EC3"/>
    <w:rsid w:val="00381625"/>
    <w:rsid w:val="00385FDB"/>
    <w:rsid w:val="00397559"/>
    <w:rsid w:val="003A2912"/>
    <w:rsid w:val="003A3352"/>
    <w:rsid w:val="003A447B"/>
    <w:rsid w:val="003A7C06"/>
    <w:rsid w:val="003B0F67"/>
    <w:rsid w:val="003B490A"/>
    <w:rsid w:val="003B5B08"/>
    <w:rsid w:val="003B60ED"/>
    <w:rsid w:val="003C1110"/>
    <w:rsid w:val="003C2AFE"/>
    <w:rsid w:val="003D16DD"/>
    <w:rsid w:val="003D28F9"/>
    <w:rsid w:val="003D726D"/>
    <w:rsid w:val="003E265A"/>
    <w:rsid w:val="003E466D"/>
    <w:rsid w:val="003F02A1"/>
    <w:rsid w:val="003F15CC"/>
    <w:rsid w:val="003F68F0"/>
    <w:rsid w:val="00400404"/>
    <w:rsid w:val="004131E7"/>
    <w:rsid w:val="00415106"/>
    <w:rsid w:val="00416CD4"/>
    <w:rsid w:val="00423203"/>
    <w:rsid w:val="004234E8"/>
    <w:rsid w:val="004276FA"/>
    <w:rsid w:val="00432CEC"/>
    <w:rsid w:val="00434721"/>
    <w:rsid w:val="004436A7"/>
    <w:rsid w:val="00450F97"/>
    <w:rsid w:val="004521E4"/>
    <w:rsid w:val="004617A4"/>
    <w:rsid w:val="00474062"/>
    <w:rsid w:val="00476DA9"/>
    <w:rsid w:val="00477FAC"/>
    <w:rsid w:val="0048441E"/>
    <w:rsid w:val="00485965"/>
    <w:rsid w:val="00486498"/>
    <w:rsid w:val="00487C30"/>
    <w:rsid w:val="00493753"/>
    <w:rsid w:val="00495B54"/>
    <w:rsid w:val="00495EEB"/>
    <w:rsid w:val="00497E31"/>
    <w:rsid w:val="004A4796"/>
    <w:rsid w:val="004A6BCD"/>
    <w:rsid w:val="004A7741"/>
    <w:rsid w:val="004B6118"/>
    <w:rsid w:val="004B7EAD"/>
    <w:rsid w:val="004C06F4"/>
    <w:rsid w:val="004C4394"/>
    <w:rsid w:val="004C645E"/>
    <w:rsid w:val="004D3734"/>
    <w:rsid w:val="004D73ED"/>
    <w:rsid w:val="004E41A2"/>
    <w:rsid w:val="004E77B3"/>
    <w:rsid w:val="004F5FEC"/>
    <w:rsid w:val="005008D1"/>
    <w:rsid w:val="00502AAF"/>
    <w:rsid w:val="00505119"/>
    <w:rsid w:val="00505DBD"/>
    <w:rsid w:val="00510A7A"/>
    <w:rsid w:val="00512BBF"/>
    <w:rsid w:val="00513D8B"/>
    <w:rsid w:val="00513DF8"/>
    <w:rsid w:val="00514580"/>
    <w:rsid w:val="00520AE4"/>
    <w:rsid w:val="00522A5A"/>
    <w:rsid w:val="00522F43"/>
    <w:rsid w:val="00530D72"/>
    <w:rsid w:val="005332A8"/>
    <w:rsid w:val="00540B06"/>
    <w:rsid w:val="0054129F"/>
    <w:rsid w:val="00542885"/>
    <w:rsid w:val="005478AD"/>
    <w:rsid w:val="0055252A"/>
    <w:rsid w:val="0055310D"/>
    <w:rsid w:val="00555294"/>
    <w:rsid w:val="005567D1"/>
    <w:rsid w:val="00557981"/>
    <w:rsid w:val="00564DA0"/>
    <w:rsid w:val="0056519B"/>
    <w:rsid w:val="00570615"/>
    <w:rsid w:val="005737FD"/>
    <w:rsid w:val="00574731"/>
    <w:rsid w:val="00577F20"/>
    <w:rsid w:val="0058335F"/>
    <w:rsid w:val="00587B1B"/>
    <w:rsid w:val="00590C7E"/>
    <w:rsid w:val="00592133"/>
    <w:rsid w:val="005936A5"/>
    <w:rsid w:val="00594B9A"/>
    <w:rsid w:val="0059771F"/>
    <w:rsid w:val="005A2734"/>
    <w:rsid w:val="005A7534"/>
    <w:rsid w:val="005A7803"/>
    <w:rsid w:val="005B4E75"/>
    <w:rsid w:val="005C1220"/>
    <w:rsid w:val="005C7383"/>
    <w:rsid w:val="005C79C1"/>
    <w:rsid w:val="005D389A"/>
    <w:rsid w:val="005D48FC"/>
    <w:rsid w:val="005E2237"/>
    <w:rsid w:val="005E5843"/>
    <w:rsid w:val="005E7DB6"/>
    <w:rsid w:val="005F2A65"/>
    <w:rsid w:val="0060367E"/>
    <w:rsid w:val="006103F1"/>
    <w:rsid w:val="00613AB8"/>
    <w:rsid w:val="006215A6"/>
    <w:rsid w:val="00621D2A"/>
    <w:rsid w:val="00631720"/>
    <w:rsid w:val="00652C9E"/>
    <w:rsid w:val="00655E7C"/>
    <w:rsid w:val="00655F69"/>
    <w:rsid w:val="00656AD5"/>
    <w:rsid w:val="006601CA"/>
    <w:rsid w:val="00662FD8"/>
    <w:rsid w:val="00663022"/>
    <w:rsid w:val="0067150F"/>
    <w:rsid w:val="00671A65"/>
    <w:rsid w:val="0067270A"/>
    <w:rsid w:val="00684081"/>
    <w:rsid w:val="00685473"/>
    <w:rsid w:val="006857BA"/>
    <w:rsid w:val="00685D3E"/>
    <w:rsid w:val="00685EF9"/>
    <w:rsid w:val="00686BFF"/>
    <w:rsid w:val="00693A42"/>
    <w:rsid w:val="006A1BA8"/>
    <w:rsid w:val="006A4D72"/>
    <w:rsid w:val="006B237C"/>
    <w:rsid w:val="006B31E1"/>
    <w:rsid w:val="006B3E07"/>
    <w:rsid w:val="006B73BA"/>
    <w:rsid w:val="006C450D"/>
    <w:rsid w:val="006C47FA"/>
    <w:rsid w:val="006D625E"/>
    <w:rsid w:val="006E11C4"/>
    <w:rsid w:val="006E3A32"/>
    <w:rsid w:val="00701F09"/>
    <w:rsid w:val="00707F0C"/>
    <w:rsid w:val="00711B03"/>
    <w:rsid w:val="00712015"/>
    <w:rsid w:val="00713182"/>
    <w:rsid w:val="00713A74"/>
    <w:rsid w:val="00722DB4"/>
    <w:rsid w:val="00722ED6"/>
    <w:rsid w:val="00731A9A"/>
    <w:rsid w:val="00733FB4"/>
    <w:rsid w:val="00736B69"/>
    <w:rsid w:val="007415A0"/>
    <w:rsid w:val="00745298"/>
    <w:rsid w:val="00752D07"/>
    <w:rsid w:val="007603AD"/>
    <w:rsid w:val="00761914"/>
    <w:rsid w:val="00761AAC"/>
    <w:rsid w:val="00770A57"/>
    <w:rsid w:val="00771E21"/>
    <w:rsid w:val="00772E26"/>
    <w:rsid w:val="007741DA"/>
    <w:rsid w:val="00786F1C"/>
    <w:rsid w:val="00790F66"/>
    <w:rsid w:val="00797F80"/>
    <w:rsid w:val="007A0D6F"/>
    <w:rsid w:val="007A58A7"/>
    <w:rsid w:val="007B1934"/>
    <w:rsid w:val="007B2E25"/>
    <w:rsid w:val="007B7131"/>
    <w:rsid w:val="007C239B"/>
    <w:rsid w:val="007D1B71"/>
    <w:rsid w:val="007D6FFF"/>
    <w:rsid w:val="007E4D31"/>
    <w:rsid w:val="007E4F17"/>
    <w:rsid w:val="007F04A7"/>
    <w:rsid w:val="00803282"/>
    <w:rsid w:val="00803F75"/>
    <w:rsid w:val="00811BE4"/>
    <w:rsid w:val="00813C77"/>
    <w:rsid w:val="0081473C"/>
    <w:rsid w:val="00821D4F"/>
    <w:rsid w:val="008227E9"/>
    <w:rsid w:val="0082519E"/>
    <w:rsid w:val="00825538"/>
    <w:rsid w:val="00847B3F"/>
    <w:rsid w:val="00852604"/>
    <w:rsid w:val="008539A3"/>
    <w:rsid w:val="008651F9"/>
    <w:rsid w:val="0086603B"/>
    <w:rsid w:val="0086732A"/>
    <w:rsid w:val="00871BCF"/>
    <w:rsid w:val="00882314"/>
    <w:rsid w:val="008840A6"/>
    <w:rsid w:val="00884B4A"/>
    <w:rsid w:val="0089188B"/>
    <w:rsid w:val="008942E4"/>
    <w:rsid w:val="00894A2D"/>
    <w:rsid w:val="00894C86"/>
    <w:rsid w:val="008A1124"/>
    <w:rsid w:val="008A6D5C"/>
    <w:rsid w:val="008B1886"/>
    <w:rsid w:val="008C0C70"/>
    <w:rsid w:val="008C43BD"/>
    <w:rsid w:val="008C4FF3"/>
    <w:rsid w:val="008D3FED"/>
    <w:rsid w:val="008D48FC"/>
    <w:rsid w:val="008E6450"/>
    <w:rsid w:val="008E78AF"/>
    <w:rsid w:val="008F1FDB"/>
    <w:rsid w:val="008F62B2"/>
    <w:rsid w:val="008F77C5"/>
    <w:rsid w:val="009009BA"/>
    <w:rsid w:val="00904A46"/>
    <w:rsid w:val="0090576B"/>
    <w:rsid w:val="0091025F"/>
    <w:rsid w:val="00912CBE"/>
    <w:rsid w:val="00914B7A"/>
    <w:rsid w:val="0092127E"/>
    <w:rsid w:val="0093327B"/>
    <w:rsid w:val="009343E3"/>
    <w:rsid w:val="0093485B"/>
    <w:rsid w:val="00934E87"/>
    <w:rsid w:val="00942A61"/>
    <w:rsid w:val="00946552"/>
    <w:rsid w:val="00955D1D"/>
    <w:rsid w:val="009607AC"/>
    <w:rsid w:val="009633CD"/>
    <w:rsid w:val="00967C56"/>
    <w:rsid w:val="00967E9D"/>
    <w:rsid w:val="0097399E"/>
    <w:rsid w:val="00973B20"/>
    <w:rsid w:val="00985052"/>
    <w:rsid w:val="0098665D"/>
    <w:rsid w:val="00991979"/>
    <w:rsid w:val="00991BD9"/>
    <w:rsid w:val="0099399E"/>
    <w:rsid w:val="00994F8A"/>
    <w:rsid w:val="009A0F1B"/>
    <w:rsid w:val="009A7BAE"/>
    <w:rsid w:val="009A7EB2"/>
    <w:rsid w:val="009B2A90"/>
    <w:rsid w:val="009B7877"/>
    <w:rsid w:val="009C1424"/>
    <w:rsid w:val="009C2283"/>
    <w:rsid w:val="009C41FF"/>
    <w:rsid w:val="009D0099"/>
    <w:rsid w:val="009D00B1"/>
    <w:rsid w:val="009D102F"/>
    <w:rsid w:val="009D3030"/>
    <w:rsid w:val="009D5DAE"/>
    <w:rsid w:val="009D7C63"/>
    <w:rsid w:val="009E0714"/>
    <w:rsid w:val="009E147E"/>
    <w:rsid w:val="009E3620"/>
    <w:rsid w:val="009E50A1"/>
    <w:rsid w:val="009E6B69"/>
    <w:rsid w:val="009F02A4"/>
    <w:rsid w:val="009F6736"/>
    <w:rsid w:val="00A0052F"/>
    <w:rsid w:val="00A01215"/>
    <w:rsid w:val="00A02509"/>
    <w:rsid w:val="00A06228"/>
    <w:rsid w:val="00A07366"/>
    <w:rsid w:val="00A12B9F"/>
    <w:rsid w:val="00A17FF6"/>
    <w:rsid w:val="00A211B9"/>
    <w:rsid w:val="00A23E42"/>
    <w:rsid w:val="00A25F8F"/>
    <w:rsid w:val="00A33B11"/>
    <w:rsid w:val="00A349A1"/>
    <w:rsid w:val="00A423E8"/>
    <w:rsid w:val="00A4414F"/>
    <w:rsid w:val="00A44BBA"/>
    <w:rsid w:val="00A47734"/>
    <w:rsid w:val="00A52562"/>
    <w:rsid w:val="00A546F4"/>
    <w:rsid w:val="00A6231B"/>
    <w:rsid w:val="00A64D04"/>
    <w:rsid w:val="00A665D6"/>
    <w:rsid w:val="00A66ACC"/>
    <w:rsid w:val="00A72469"/>
    <w:rsid w:val="00A74FF3"/>
    <w:rsid w:val="00A878B2"/>
    <w:rsid w:val="00A92E00"/>
    <w:rsid w:val="00A97C3D"/>
    <w:rsid w:val="00AA0B91"/>
    <w:rsid w:val="00AA5E46"/>
    <w:rsid w:val="00AB3472"/>
    <w:rsid w:val="00AB364D"/>
    <w:rsid w:val="00AB73A4"/>
    <w:rsid w:val="00AC08FE"/>
    <w:rsid w:val="00AC5B56"/>
    <w:rsid w:val="00AD2D2B"/>
    <w:rsid w:val="00AD5B49"/>
    <w:rsid w:val="00AD7B45"/>
    <w:rsid w:val="00AE2884"/>
    <w:rsid w:val="00AE2995"/>
    <w:rsid w:val="00AE2DFB"/>
    <w:rsid w:val="00AE4072"/>
    <w:rsid w:val="00AE5248"/>
    <w:rsid w:val="00AE7AF5"/>
    <w:rsid w:val="00AF59D6"/>
    <w:rsid w:val="00AF5C2C"/>
    <w:rsid w:val="00AF6DDA"/>
    <w:rsid w:val="00B02804"/>
    <w:rsid w:val="00B0311E"/>
    <w:rsid w:val="00B04186"/>
    <w:rsid w:val="00B04A93"/>
    <w:rsid w:val="00B06891"/>
    <w:rsid w:val="00B075CC"/>
    <w:rsid w:val="00B07C48"/>
    <w:rsid w:val="00B10D5B"/>
    <w:rsid w:val="00B11C94"/>
    <w:rsid w:val="00B24CAD"/>
    <w:rsid w:val="00B2700E"/>
    <w:rsid w:val="00B31557"/>
    <w:rsid w:val="00B3165A"/>
    <w:rsid w:val="00B32A92"/>
    <w:rsid w:val="00B35735"/>
    <w:rsid w:val="00B36552"/>
    <w:rsid w:val="00B3739E"/>
    <w:rsid w:val="00B40A96"/>
    <w:rsid w:val="00B47C46"/>
    <w:rsid w:val="00B50A86"/>
    <w:rsid w:val="00B6476C"/>
    <w:rsid w:val="00B64A95"/>
    <w:rsid w:val="00B66E3D"/>
    <w:rsid w:val="00B67860"/>
    <w:rsid w:val="00B7227A"/>
    <w:rsid w:val="00B76410"/>
    <w:rsid w:val="00B851E3"/>
    <w:rsid w:val="00B85857"/>
    <w:rsid w:val="00B862D0"/>
    <w:rsid w:val="00B8742E"/>
    <w:rsid w:val="00B95948"/>
    <w:rsid w:val="00BA2CBE"/>
    <w:rsid w:val="00BA31B9"/>
    <w:rsid w:val="00BA798E"/>
    <w:rsid w:val="00BB51E9"/>
    <w:rsid w:val="00BC14EC"/>
    <w:rsid w:val="00BC3921"/>
    <w:rsid w:val="00BC4270"/>
    <w:rsid w:val="00BD1605"/>
    <w:rsid w:val="00BD1F8A"/>
    <w:rsid w:val="00BD354D"/>
    <w:rsid w:val="00BD5BB3"/>
    <w:rsid w:val="00BE0961"/>
    <w:rsid w:val="00BE0BDA"/>
    <w:rsid w:val="00BE3CB0"/>
    <w:rsid w:val="00BF4F73"/>
    <w:rsid w:val="00BF5BE1"/>
    <w:rsid w:val="00BF653F"/>
    <w:rsid w:val="00C12003"/>
    <w:rsid w:val="00C13490"/>
    <w:rsid w:val="00C2364D"/>
    <w:rsid w:val="00C26441"/>
    <w:rsid w:val="00C411A3"/>
    <w:rsid w:val="00C42797"/>
    <w:rsid w:val="00C444B7"/>
    <w:rsid w:val="00C447D8"/>
    <w:rsid w:val="00C4609C"/>
    <w:rsid w:val="00C5134A"/>
    <w:rsid w:val="00C5444C"/>
    <w:rsid w:val="00C637BD"/>
    <w:rsid w:val="00C63D27"/>
    <w:rsid w:val="00C64BAB"/>
    <w:rsid w:val="00C70048"/>
    <w:rsid w:val="00C708F4"/>
    <w:rsid w:val="00C709EA"/>
    <w:rsid w:val="00C71A83"/>
    <w:rsid w:val="00C726EF"/>
    <w:rsid w:val="00C72E90"/>
    <w:rsid w:val="00C7581E"/>
    <w:rsid w:val="00C8145F"/>
    <w:rsid w:val="00C81FD5"/>
    <w:rsid w:val="00C847C8"/>
    <w:rsid w:val="00C86813"/>
    <w:rsid w:val="00C91747"/>
    <w:rsid w:val="00C91A2E"/>
    <w:rsid w:val="00CA31A1"/>
    <w:rsid w:val="00CA45F2"/>
    <w:rsid w:val="00CB23AB"/>
    <w:rsid w:val="00CB4978"/>
    <w:rsid w:val="00CB49E6"/>
    <w:rsid w:val="00CB7250"/>
    <w:rsid w:val="00CC3532"/>
    <w:rsid w:val="00CD089F"/>
    <w:rsid w:val="00CE54A1"/>
    <w:rsid w:val="00CE7C1E"/>
    <w:rsid w:val="00CF1D62"/>
    <w:rsid w:val="00CF7681"/>
    <w:rsid w:val="00D0150D"/>
    <w:rsid w:val="00D043B2"/>
    <w:rsid w:val="00D0640B"/>
    <w:rsid w:val="00D116E9"/>
    <w:rsid w:val="00D11AEB"/>
    <w:rsid w:val="00D133EF"/>
    <w:rsid w:val="00D16CD0"/>
    <w:rsid w:val="00D21508"/>
    <w:rsid w:val="00D228F2"/>
    <w:rsid w:val="00D3328A"/>
    <w:rsid w:val="00D34D4A"/>
    <w:rsid w:val="00D42175"/>
    <w:rsid w:val="00D4263D"/>
    <w:rsid w:val="00D47A44"/>
    <w:rsid w:val="00D47B02"/>
    <w:rsid w:val="00D55685"/>
    <w:rsid w:val="00D57CF2"/>
    <w:rsid w:val="00D703A9"/>
    <w:rsid w:val="00D72929"/>
    <w:rsid w:val="00D73506"/>
    <w:rsid w:val="00D7466D"/>
    <w:rsid w:val="00D81A35"/>
    <w:rsid w:val="00D83994"/>
    <w:rsid w:val="00D85BDA"/>
    <w:rsid w:val="00D85C6E"/>
    <w:rsid w:val="00D91DF6"/>
    <w:rsid w:val="00D91E81"/>
    <w:rsid w:val="00D923E3"/>
    <w:rsid w:val="00D92C0E"/>
    <w:rsid w:val="00D96583"/>
    <w:rsid w:val="00DA7785"/>
    <w:rsid w:val="00DB04A8"/>
    <w:rsid w:val="00DB2E8B"/>
    <w:rsid w:val="00DB67BD"/>
    <w:rsid w:val="00DC47F6"/>
    <w:rsid w:val="00DC5E2D"/>
    <w:rsid w:val="00DD40C0"/>
    <w:rsid w:val="00DD5DBE"/>
    <w:rsid w:val="00DD75A0"/>
    <w:rsid w:val="00DE3CDC"/>
    <w:rsid w:val="00DE683B"/>
    <w:rsid w:val="00DF4DB2"/>
    <w:rsid w:val="00E06B5F"/>
    <w:rsid w:val="00E10DA9"/>
    <w:rsid w:val="00E10FEB"/>
    <w:rsid w:val="00E12DA8"/>
    <w:rsid w:val="00E1513D"/>
    <w:rsid w:val="00E20B48"/>
    <w:rsid w:val="00E27E36"/>
    <w:rsid w:val="00E339CB"/>
    <w:rsid w:val="00E35E7F"/>
    <w:rsid w:val="00E422FB"/>
    <w:rsid w:val="00E52D0E"/>
    <w:rsid w:val="00E53DF5"/>
    <w:rsid w:val="00E5578B"/>
    <w:rsid w:val="00E62A7D"/>
    <w:rsid w:val="00E62D5D"/>
    <w:rsid w:val="00E705F9"/>
    <w:rsid w:val="00E74422"/>
    <w:rsid w:val="00E8717F"/>
    <w:rsid w:val="00E90A25"/>
    <w:rsid w:val="00E912B6"/>
    <w:rsid w:val="00EA3716"/>
    <w:rsid w:val="00EA6505"/>
    <w:rsid w:val="00EA7EE1"/>
    <w:rsid w:val="00EB0AC5"/>
    <w:rsid w:val="00EB2645"/>
    <w:rsid w:val="00EC07C4"/>
    <w:rsid w:val="00EC424A"/>
    <w:rsid w:val="00EC71D8"/>
    <w:rsid w:val="00EC7F67"/>
    <w:rsid w:val="00ED368C"/>
    <w:rsid w:val="00ED4FAA"/>
    <w:rsid w:val="00ED5B77"/>
    <w:rsid w:val="00ED658E"/>
    <w:rsid w:val="00EE2FA3"/>
    <w:rsid w:val="00EE70D7"/>
    <w:rsid w:val="00EE7EFF"/>
    <w:rsid w:val="00F01BF9"/>
    <w:rsid w:val="00F03458"/>
    <w:rsid w:val="00F106BB"/>
    <w:rsid w:val="00F11D79"/>
    <w:rsid w:val="00F11FC4"/>
    <w:rsid w:val="00F12F37"/>
    <w:rsid w:val="00F14C49"/>
    <w:rsid w:val="00F164EF"/>
    <w:rsid w:val="00F21EAF"/>
    <w:rsid w:val="00F234AF"/>
    <w:rsid w:val="00F32B7A"/>
    <w:rsid w:val="00F368AE"/>
    <w:rsid w:val="00F37637"/>
    <w:rsid w:val="00F419DE"/>
    <w:rsid w:val="00F42068"/>
    <w:rsid w:val="00F44080"/>
    <w:rsid w:val="00F44E6C"/>
    <w:rsid w:val="00F456BE"/>
    <w:rsid w:val="00F467C0"/>
    <w:rsid w:val="00F47C0E"/>
    <w:rsid w:val="00F53501"/>
    <w:rsid w:val="00F54BB8"/>
    <w:rsid w:val="00F61844"/>
    <w:rsid w:val="00F62B8E"/>
    <w:rsid w:val="00F657A1"/>
    <w:rsid w:val="00F662B1"/>
    <w:rsid w:val="00F6661D"/>
    <w:rsid w:val="00F73EEA"/>
    <w:rsid w:val="00F743BD"/>
    <w:rsid w:val="00F75D61"/>
    <w:rsid w:val="00F77DFF"/>
    <w:rsid w:val="00F84443"/>
    <w:rsid w:val="00F86A20"/>
    <w:rsid w:val="00F919B3"/>
    <w:rsid w:val="00FA21FB"/>
    <w:rsid w:val="00FA2C28"/>
    <w:rsid w:val="00FA71A7"/>
    <w:rsid w:val="00FB22E9"/>
    <w:rsid w:val="00FC00B9"/>
    <w:rsid w:val="00FC2620"/>
    <w:rsid w:val="00FD650C"/>
    <w:rsid w:val="00FD6D5A"/>
    <w:rsid w:val="00FE1BE3"/>
    <w:rsid w:val="00FE61DE"/>
    <w:rsid w:val="00FF0684"/>
    <w:rsid w:val="00FF41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1E2AE"/>
  <w15:docId w15:val="{AA036E54-CD11-4E0C-BCDE-36FC31BA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08"/>
    <w:pPr>
      <w:spacing w:after="240" w:line="480" w:lineRule="auto"/>
      <w:ind w:firstLine="567"/>
      <w:contextualSpacing/>
      <w:jc w:val="both"/>
    </w:pPr>
    <w:rPr>
      <w:rFonts w:ascii="Times New Roman" w:hAnsi="Times New Roman" w:cs="Times New Roman"/>
      <w:sz w:val="24"/>
      <w:lang w:val="en-CA"/>
    </w:rPr>
  </w:style>
  <w:style w:type="paragraph" w:styleId="Titre1">
    <w:name w:val="heading 1"/>
    <w:basedOn w:val="Normal"/>
    <w:next w:val="Normal"/>
    <w:link w:val="Titre1Car"/>
    <w:uiPriority w:val="9"/>
    <w:qFormat/>
    <w:rsid w:val="000E7704"/>
    <w:pPr>
      <w:outlineLvl w:val="0"/>
    </w:pPr>
    <w:rPr>
      <w:b/>
      <w:caps/>
    </w:rPr>
  </w:style>
  <w:style w:type="paragraph" w:styleId="Titre2">
    <w:name w:val="heading 2"/>
    <w:basedOn w:val="Normal"/>
    <w:next w:val="Normal"/>
    <w:link w:val="Titre2Car"/>
    <w:uiPriority w:val="9"/>
    <w:unhideWhenUsed/>
    <w:qFormat/>
    <w:rsid w:val="001E368E"/>
    <w:pPr>
      <w:jc w:val="center"/>
      <w:outlineLvl w:val="1"/>
    </w:pPr>
    <w:rPr>
      <w:b/>
      <w:sz w:val="28"/>
      <w:u w:val="single"/>
    </w:rPr>
  </w:style>
  <w:style w:type="paragraph" w:styleId="Titre3">
    <w:name w:val="heading 3"/>
    <w:basedOn w:val="Paragraphedeliste"/>
    <w:next w:val="Normal"/>
    <w:link w:val="Titre3Car"/>
    <w:uiPriority w:val="9"/>
    <w:unhideWhenUsed/>
    <w:qFormat/>
    <w:rsid w:val="00D21508"/>
    <w:pPr>
      <w:numPr>
        <w:numId w:val="1"/>
      </w:numP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1FC4"/>
    <w:rPr>
      <w:color w:val="0563C1" w:themeColor="hyperlink"/>
      <w:u w:val="single"/>
    </w:rPr>
  </w:style>
  <w:style w:type="paragraph" w:styleId="Titre">
    <w:name w:val="Title"/>
    <w:basedOn w:val="Normal"/>
    <w:next w:val="Normal"/>
    <w:link w:val="TitreCar"/>
    <w:uiPriority w:val="10"/>
    <w:qFormat/>
    <w:rsid w:val="001E368E"/>
    <w:pPr>
      <w:spacing w:after="0" w:line="360" w:lineRule="auto"/>
      <w:jc w:val="center"/>
    </w:pPr>
    <w:rPr>
      <w:rFonts w:eastAsiaTheme="majorEastAsia"/>
      <w:spacing w:val="-10"/>
      <w:kern w:val="28"/>
      <w:sz w:val="56"/>
      <w:szCs w:val="56"/>
    </w:rPr>
  </w:style>
  <w:style w:type="character" w:customStyle="1" w:styleId="TitreCar">
    <w:name w:val="Titre Car"/>
    <w:basedOn w:val="Policepardfaut"/>
    <w:link w:val="Titre"/>
    <w:uiPriority w:val="10"/>
    <w:rsid w:val="001E368E"/>
    <w:rPr>
      <w:rFonts w:ascii="Times New Roman" w:eastAsiaTheme="majorEastAsia" w:hAnsi="Times New Roman" w:cs="Times New Roman"/>
      <w:spacing w:val="-10"/>
      <w:kern w:val="28"/>
      <w:sz w:val="56"/>
      <w:szCs w:val="56"/>
      <w:lang w:val="en-CA"/>
    </w:rPr>
  </w:style>
  <w:style w:type="paragraph" w:customStyle="1" w:styleId="FACorrespondingAuthorFootnote">
    <w:name w:val="FA_Corresponding_Author_Footnote"/>
    <w:basedOn w:val="Normal"/>
    <w:next w:val="Normal"/>
    <w:rsid w:val="001E368E"/>
    <w:pPr>
      <w:spacing w:after="200"/>
    </w:pPr>
    <w:rPr>
      <w:rFonts w:ascii="Times" w:eastAsia="Times New Roman" w:hAnsi="Times"/>
      <w:szCs w:val="20"/>
      <w:lang w:val="en-US"/>
    </w:rPr>
  </w:style>
  <w:style w:type="character" w:customStyle="1" w:styleId="Titre2Car">
    <w:name w:val="Titre 2 Car"/>
    <w:basedOn w:val="Policepardfaut"/>
    <w:link w:val="Titre2"/>
    <w:uiPriority w:val="9"/>
    <w:rsid w:val="001E368E"/>
    <w:rPr>
      <w:rFonts w:ascii="Times New Roman" w:hAnsi="Times New Roman" w:cs="Times New Roman"/>
      <w:b/>
      <w:sz w:val="28"/>
      <w:u w:val="single"/>
      <w:lang w:val="en-CA"/>
    </w:rPr>
  </w:style>
  <w:style w:type="character" w:customStyle="1" w:styleId="Titre1Car">
    <w:name w:val="Titre 1 Car"/>
    <w:basedOn w:val="Policepardfaut"/>
    <w:link w:val="Titre1"/>
    <w:uiPriority w:val="9"/>
    <w:rsid w:val="000E7704"/>
    <w:rPr>
      <w:rFonts w:ascii="Times New Roman" w:hAnsi="Times New Roman" w:cs="Times New Roman"/>
      <w:b/>
      <w:caps/>
      <w:sz w:val="24"/>
      <w:lang w:val="en-CA"/>
    </w:rPr>
  </w:style>
  <w:style w:type="paragraph" w:styleId="Sansinterligne">
    <w:name w:val="No Spacing"/>
    <w:basedOn w:val="Normal"/>
    <w:uiPriority w:val="1"/>
    <w:qFormat/>
    <w:rsid w:val="00D21508"/>
    <w:pPr>
      <w:spacing w:line="276" w:lineRule="auto"/>
      <w:ind w:left="1276" w:hanging="1276"/>
    </w:pPr>
    <w:rPr>
      <w:i/>
    </w:rPr>
  </w:style>
  <w:style w:type="character" w:customStyle="1" w:styleId="Titre3Car">
    <w:name w:val="Titre 3 Car"/>
    <w:basedOn w:val="Policepardfaut"/>
    <w:link w:val="Titre3"/>
    <w:uiPriority w:val="9"/>
    <w:rsid w:val="00D21508"/>
    <w:rPr>
      <w:rFonts w:ascii="Times New Roman" w:hAnsi="Times New Roman" w:cs="Times New Roman"/>
      <w:b/>
      <w:sz w:val="24"/>
      <w:lang w:val="en-CA"/>
    </w:rPr>
  </w:style>
  <w:style w:type="character" w:styleId="Marquedecommentaire">
    <w:name w:val="annotation reference"/>
    <w:basedOn w:val="Policepardfaut"/>
    <w:uiPriority w:val="99"/>
    <w:semiHidden/>
    <w:unhideWhenUsed/>
    <w:rsid w:val="00053DE0"/>
    <w:rPr>
      <w:sz w:val="16"/>
      <w:szCs w:val="16"/>
    </w:rPr>
  </w:style>
  <w:style w:type="paragraph" w:styleId="Commentaire">
    <w:name w:val="annotation text"/>
    <w:basedOn w:val="Normal"/>
    <w:link w:val="CommentaireCar"/>
    <w:uiPriority w:val="99"/>
    <w:semiHidden/>
    <w:unhideWhenUsed/>
    <w:rsid w:val="00053DE0"/>
    <w:pPr>
      <w:spacing w:line="240" w:lineRule="auto"/>
    </w:pPr>
    <w:rPr>
      <w:sz w:val="20"/>
      <w:szCs w:val="20"/>
    </w:rPr>
  </w:style>
  <w:style w:type="character" w:customStyle="1" w:styleId="CommentaireCar">
    <w:name w:val="Commentaire Car"/>
    <w:basedOn w:val="Policepardfaut"/>
    <w:link w:val="Commentaire"/>
    <w:uiPriority w:val="99"/>
    <w:semiHidden/>
    <w:rsid w:val="00053DE0"/>
    <w:rPr>
      <w:rFonts w:ascii="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053DE0"/>
    <w:rPr>
      <w:b/>
      <w:bCs/>
    </w:rPr>
  </w:style>
  <w:style w:type="character" w:customStyle="1" w:styleId="ObjetducommentaireCar">
    <w:name w:val="Objet du commentaire Car"/>
    <w:basedOn w:val="CommentaireCar"/>
    <w:link w:val="Objetducommentaire"/>
    <w:uiPriority w:val="99"/>
    <w:semiHidden/>
    <w:rsid w:val="00053DE0"/>
    <w:rPr>
      <w:rFonts w:ascii="Times New Roman" w:hAnsi="Times New Roman" w:cs="Times New Roman"/>
      <w:b/>
      <w:bCs/>
      <w:sz w:val="20"/>
      <w:szCs w:val="20"/>
      <w:lang w:val="en-CA"/>
    </w:rPr>
  </w:style>
  <w:style w:type="paragraph" w:styleId="Textedebulles">
    <w:name w:val="Balloon Text"/>
    <w:basedOn w:val="Normal"/>
    <w:link w:val="TextedebullesCar"/>
    <w:uiPriority w:val="99"/>
    <w:semiHidden/>
    <w:unhideWhenUsed/>
    <w:rsid w:val="00053D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3DE0"/>
    <w:rPr>
      <w:rFonts w:ascii="Segoe UI" w:hAnsi="Segoe UI" w:cs="Segoe UI"/>
      <w:sz w:val="18"/>
      <w:szCs w:val="18"/>
      <w:lang w:val="en-CA"/>
    </w:rPr>
  </w:style>
  <w:style w:type="paragraph" w:styleId="Rvision">
    <w:name w:val="Revision"/>
    <w:hidden/>
    <w:uiPriority w:val="99"/>
    <w:semiHidden/>
    <w:rsid w:val="00053DE0"/>
    <w:pPr>
      <w:spacing w:after="0" w:line="240" w:lineRule="auto"/>
    </w:pPr>
    <w:rPr>
      <w:rFonts w:ascii="Times New Roman" w:hAnsi="Times New Roman" w:cs="Times New Roman"/>
      <w:sz w:val="24"/>
      <w:lang w:val="en-CA"/>
    </w:rPr>
  </w:style>
  <w:style w:type="paragraph" w:styleId="Paragraphedeliste">
    <w:name w:val="List Paragraph"/>
    <w:basedOn w:val="Normal"/>
    <w:uiPriority w:val="34"/>
    <w:qFormat/>
    <w:rsid w:val="00F919B3"/>
    <w:pPr>
      <w:ind w:left="720"/>
    </w:pPr>
  </w:style>
  <w:style w:type="character" w:styleId="Textedelespacerserv">
    <w:name w:val="Placeholder Text"/>
    <w:basedOn w:val="Policepardfaut"/>
    <w:uiPriority w:val="99"/>
    <w:semiHidden/>
    <w:rsid w:val="00786F1C"/>
    <w:rPr>
      <w:color w:val="808080"/>
    </w:rPr>
  </w:style>
  <w:style w:type="table" w:styleId="Grilledutableau">
    <w:name w:val="Table Grid"/>
    <w:basedOn w:val="TableauNormal"/>
    <w:uiPriority w:val="39"/>
    <w:rsid w:val="00E7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234E8"/>
    <w:pPr>
      <w:spacing w:after="200" w:line="240" w:lineRule="auto"/>
    </w:pPr>
    <w:rPr>
      <w:i/>
      <w:iCs/>
      <w:color w:val="44546A" w:themeColor="text2"/>
      <w:sz w:val="18"/>
      <w:szCs w:val="18"/>
    </w:rPr>
  </w:style>
  <w:style w:type="table" w:customStyle="1" w:styleId="Grilledutableau1">
    <w:name w:val="Grille du tableau1"/>
    <w:basedOn w:val="TableauNormal"/>
    <w:next w:val="Grilledutableau"/>
    <w:uiPriority w:val="39"/>
    <w:rsid w:val="00B3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3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4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36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22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89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33EF"/>
    <w:pPr>
      <w:tabs>
        <w:tab w:val="center" w:pos="4320"/>
        <w:tab w:val="right" w:pos="8640"/>
      </w:tabs>
      <w:spacing w:after="0" w:line="240" w:lineRule="auto"/>
    </w:pPr>
  </w:style>
  <w:style w:type="character" w:customStyle="1" w:styleId="En-tteCar">
    <w:name w:val="En-tête Car"/>
    <w:basedOn w:val="Policepardfaut"/>
    <w:link w:val="En-tte"/>
    <w:uiPriority w:val="99"/>
    <w:rsid w:val="00D133EF"/>
    <w:rPr>
      <w:rFonts w:ascii="Times New Roman" w:hAnsi="Times New Roman" w:cs="Times New Roman"/>
      <w:sz w:val="24"/>
      <w:lang w:val="en-CA"/>
    </w:rPr>
  </w:style>
  <w:style w:type="paragraph" w:styleId="Pieddepage">
    <w:name w:val="footer"/>
    <w:basedOn w:val="Normal"/>
    <w:link w:val="PieddepageCar"/>
    <w:uiPriority w:val="99"/>
    <w:unhideWhenUsed/>
    <w:rsid w:val="00D133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33EF"/>
    <w:rPr>
      <w:rFonts w:ascii="Times New Roman" w:hAnsi="Times New Roman"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boudreau@chm.ulaval.ca"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502AC-9BF4-4CA0-8E08-9B088CF0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2568</TotalTime>
  <Pages>11</Pages>
  <Words>3541</Words>
  <Characters>20184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Ulaval</Company>
  <LinksUpToDate>false</LinksUpToDate>
  <CharactersWithSpaces>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Asselin</dc:creator>
  <cp:keywords/>
  <dc:description/>
  <cp:lastModifiedBy>Jérémie Asselin</cp:lastModifiedBy>
  <cp:revision>15</cp:revision>
  <cp:lastPrinted>2015-11-27T21:27:00Z</cp:lastPrinted>
  <dcterms:created xsi:type="dcterms:W3CDTF">2016-12-07T16:42:00Z</dcterms:created>
  <dcterms:modified xsi:type="dcterms:W3CDTF">2016-12-16T15:16:00Z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Mendeley Document_1">
    <vt:lpwstr>True</vt:lpwstr>
  </property>
  <property fmtid="{D5CDD505-2E9C-101B-9397-08002B2CF9AE}" pid="4" name="Mendeley Citation Style_1">
    <vt:lpwstr>http://www.zotero.org/styles/chemical-communications</vt:lpwstr>
  </property>
  <property fmtid="{D5CDD505-2E9C-101B-9397-08002B2CF9AE}" pid="5" name="Mendeley Recent Style Id 0_1">
    <vt:lpwstr>http://www.zotero.org/styles/acs-nano</vt:lpwstr>
  </property>
  <property fmtid="{D5CDD505-2E9C-101B-9397-08002B2CF9AE}" pid="6" name="Mendeley Recent Style Name 0_1">
    <vt:lpwstr>ACS Nano</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http://www.zotero.org/styles/chemical-communications</vt:lpwstr>
  </property>
  <property fmtid="{D5CDD505-2E9C-101B-9397-08002B2CF9AE}" pid="16" name="Mendeley Recent Style Name 5_1">
    <vt:lpwstr>Chemical Communications</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16th edition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http://www.zotero.org/styles/royal-society-of-chemistry</vt:lpwstr>
  </property>
  <property fmtid="{D5CDD505-2E9C-101B-9397-08002B2CF9AE}" pid="22" name="Mendeley Recent Style Name 8_1">
    <vt:lpwstr>Royal Society of Chemistry</vt:lpwstr>
  </property>
  <property fmtid="{D5CDD505-2E9C-101B-9397-08002B2CF9AE}" pid="23" name="Mendeley Recent Style Id 9_1">
    <vt:lpwstr>http://www.zotero.org/styles/the-journal-of-physical-chemistry-c</vt:lpwstr>
  </property>
  <property fmtid="{D5CDD505-2E9C-101B-9397-08002B2CF9AE}" pid="24" name="Mendeley Recent Style Name 9_1">
    <vt:lpwstr>The Journal of Physical Chemistry C</vt:lpwstr>
  </property>
  <property fmtid="{D5CDD505-2E9C-101B-9397-08002B2CF9AE}" pid="25" name="Mendeley Unique User Id_1">
    <vt:lpwstr>72934533-9ad8-3fa7-8f61-0f65c660d679</vt:lpwstr>
  </property>
</Properties>
</file>